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00" w:lineRule="exact"/>
        <w:rPr>
          <w:rFonts w:hint="eastAsia" w:ascii="黑体" w:hAnsi="黑体" w:eastAsia="黑体"/>
          <w:color w:val="auto"/>
          <w:sz w:val="32"/>
          <w:szCs w:val="32"/>
        </w:rPr>
      </w:pPr>
      <w:r>
        <w:rPr>
          <w:rFonts w:hint="eastAsia" w:ascii="黑体" w:hAnsi="黑体" w:eastAsia="黑体"/>
          <w:color w:val="auto"/>
          <w:sz w:val="32"/>
          <w:szCs w:val="32"/>
        </w:rPr>
        <w:t>附件</w:t>
      </w:r>
      <w:bookmarkStart w:id="0" w:name="_GoBack"/>
      <w:bookmarkEnd w:id="0"/>
    </w:p>
    <w:p>
      <w:pPr>
        <w:spacing w:line="50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长治市“证照分离”改革事项清单（2022年版）</w:t>
      </w:r>
    </w:p>
    <w:p>
      <w:pPr>
        <w:spacing w:line="200" w:lineRule="exact"/>
        <w:rPr>
          <w:rFonts w:ascii="楷体_GB2312" w:eastAsia="楷体_GB2312"/>
          <w:color w:val="auto"/>
          <w:sz w:val="32"/>
          <w:szCs w:val="32"/>
        </w:rPr>
      </w:pPr>
    </w:p>
    <w:tbl>
      <w:tblPr>
        <w:tblW w:w="138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7"/>
        <w:gridCol w:w="587"/>
        <w:gridCol w:w="763"/>
        <w:gridCol w:w="914"/>
        <w:gridCol w:w="941"/>
        <w:gridCol w:w="954"/>
        <w:gridCol w:w="901"/>
        <w:gridCol w:w="627"/>
        <w:gridCol w:w="586"/>
        <w:gridCol w:w="532"/>
        <w:gridCol w:w="545"/>
        <w:gridCol w:w="2496"/>
        <w:gridCol w:w="3454"/>
      </w:tblGrid>
      <w:tr>
        <w:trPr>
          <w:cantSplit/>
          <w:trHeight w:val="334" w:hRule="atLeast"/>
          <w:tblHeader/>
          <w:jc w:val="center"/>
        </w:trPr>
        <w:tc>
          <w:tcPr>
            <w:tcW w:w="567" w:type="dxa"/>
            <w:vMerge w:val="restart"/>
            <w:tcBorders>
              <w:top w:val="single" w:color="auto" w:sz="4" w:space="0"/>
              <w:left w:val="single" w:color="auto" w:sz="4" w:space="0"/>
              <w:bottom w:val="single" w:color="auto" w:sz="4" w:space="0"/>
              <w:right w:val="single" w:color="auto" w:sz="4" w:space="0"/>
            </w:tcBorders>
            <w:vAlign w:val="center"/>
          </w:tcPr>
          <w:p>
            <w:pPr>
              <w:tabs>
                <w:tab w:val="left" w:pos="213"/>
              </w:tabs>
              <w:adjustRightInd w:val="0"/>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763"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290"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4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4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rPr>
          <w:cantSplit/>
          <w:trHeight w:val="334" w:hRule="atLeast"/>
          <w:tblHeader/>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tabs>
                <w:tab w:val="left" w:pos="213"/>
              </w:tabs>
              <w:adjustRightInd w:val="0"/>
              <w:jc w:val="center"/>
              <w:rPr>
                <w:rFonts w:ascii="Times New Roman" w:hAnsi="Times New Roman" w:eastAsia="仿宋_GB2312"/>
                <w:b/>
                <w:bCs/>
                <w:color w:val="auto"/>
                <w:kern w:val="0"/>
                <w:sz w:val="18"/>
                <w:szCs w:val="18"/>
              </w:rPr>
            </w:pPr>
          </w:p>
        </w:tc>
        <w:tc>
          <w:tcPr>
            <w:tcW w:w="5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763"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627"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6"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32"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45"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4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34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rPr>
          <w:cantSplit/>
          <w:trHeight w:val="31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外商投资经营电信业务（基础电信业务）审批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3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4" o:spid="_x0000_s1028" type="#_x0000_t202" style="position:absolute;left:0;margin-left:-101.15pt;margin-top:336.4pt;height:144pt;width:144pt;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外商投资经营电信业务（第一类增值电信业务）审批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2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5" o:spid="_x0000_s1029" type="#_x0000_t202" style="position:absolute;left:0;margin-left:-101.15pt;margin-top:618.55pt;height:144pt;width:144pt;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外商投资经营电信业务（第二类增值电信业务）审批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4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取消初审环节，将该项许可由省工信厅初审、工业和信息化部审批，调整为省工信厅直接审批。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省地方金融监管局在实施“设立典当行及分支机构审批”后及时将有关信息推送至公安机关，公安机关及时将典当行及其分支机构纳入监管范围。2.开展“双随机、一公开”监管，发现违法违规行为要依法查处并公开结果。</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将城乡规划编制单位的资质由三级调整为两级，取消丙级资质，相应调整乙级资质的许可条件。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w:t>
            </w:r>
          </w:p>
        </w:tc>
      </w:tr>
      <w:tr>
        <w:trPr>
          <w:cantSplit/>
          <w:trHeight w:val="26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6" o:spid="_x0000_s1030" type="#_x0000_t202" style="position:absolute;left:0;margin-left:-101.15pt;margin-top:314.4pt;height:144pt;width:144pt;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将地质灾害危险性评估单位的资质由三级调整为两级，取消丙级资质，相应调整乙级资质的许可条件。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将地质灾害治理工程勘查单位的资质由三级调整为两级，取消丙级资质，相应调整乙级资质的许可条件。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将地质灾害治理工程设计单位的资质由三级调整为两级，取消丙级资质，相应调整乙级资质的许可条件。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将地质灾害治理工程施工单位的资质由三级调整为两级，取消丙级资质，相应调整乙级资质的许可条件。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将地质灾害治理工程监理单位的资质由三级调整为两级，取消丙级资质，相应调整乙级资质的许可条件。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从事测绘活动的单位丁级资质审批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将从事测绘活动的单位资质由四级调整为两级，取消丁级资质，相应调整乙级资质的许可条件。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rPr>
          <w:cantSplit/>
          <w:trHeight w:val="24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放射性污染监测机构资质认定（省级权限）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取消省生态环境厅实施的该项许可审批，从事放射性污染监测的机构可向生态环境部申请办理资质认定。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虚假承诺或严重不实的要依法处理。2.依法依规建立失信惩戒及信用共享机制，依法向社会公布监测机构信用状况，依法依规对失信主体开展失信惩戒，将相关信息纳入全国信用信息共享平台。3.推动企业信息公开，加强社会监督。</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rPr>
          <w:cantSplit/>
          <w:trHeight w:val="24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房地产开发企业三级资质核定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将房地产开发企业资质由四级调整为两级，取消三级资质，相应调整二级资质的许可条件。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房地产开发企业四级资质核定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将房地产开发企业资质由四级调整为两级，取消四级资质，相应调整二级资质的许可条件。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将建设工程勘察企业资质由三级调整为两级，取消丙级资质，相应调整乙级资质的许可条件。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1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工程设计企业资质认定（丙级、丁级）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将工程设计企业资质由三级或者四级调整为两级，取消丙级、丁级资质，相应调整乙级资质的许可条件。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3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施工企业资质认定（三级）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将施工企业资质由三级调整为两级，取消三级资质，相应调整二级资质的许可条件。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工程监理企业资质认定（丙级，事务所，公路、水利水电、港口与航道、农林工程专业资质）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1.将工程监理企业资质由三级调整为两级，取消丙级资质，相应调整乙级资质的许可条件。2.取消住房城乡建设部门审批的监理事务所资质和公路、水利水电、港口与航道、农林工程专业监理资质。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取消省交通厅实施的该项审批（初审），申请人直接向交通运输部提出申请。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建立信用档案并依法向社会公开信用记录，依法依规对失信主体开展失信惩戒。4.发挥行业协会自律作用。</w:t>
            </w:r>
          </w:p>
        </w:tc>
      </w:tr>
      <w:tr>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取消省交通厅实施的该项许可（初审），申请人直接向交通运输部提出申请。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加强信用监管，建立有关海运企业信用档案并依法向社会公开信用记录，依法依规对失信主体开展失信惩戒。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将水运工程监理企业资质由三级调整为两级，取消丙级资质，相应调整乙级资质的许可条件。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市场检查，开展“双随机一公开”监管，发现违法违规行为要依法查处并公开结果。2.强化信用监管，加强相关信用信息在工程招标投标、企业资质审核等方面的应用。3.充分利用信息化手段加强社会监督，通过全国水运建设市场信用信息管理系统公示企业业绩、人员资格等信息，接受社会监督。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将公路工程监理企业资质由三级调整为两级，取消丙级资质，相应调整乙级资质的许可条件。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2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将水利工程建设监理单位资质由三级调整为两级，取消丙级资质，将乙级资质的许可条件调整为目前丙级资质的许可条件。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拖拉机驾驶培训学校、驾驶培训班资格认定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培训环节强化驾驶员安全教育。2.加强教练员队伍建设和管理，推动拖拉机培训机构建立培训记录、提高培训水平。3.严把拖拉机驾驶证件考试关口，严肃考试纪律，确保持证人员掌握驾驶技能和道路安全法规知识。4.农业农村部门、公安机关依照法定职责加强对拖拉机的驾驶安全管理，依法查处违规驾驶行为。</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进出口农作物种子（苗）审批（初审）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取消省农业农村厅实施的该项审批（初审），申请人直接向农业农村部提出申请。</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18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外商投资农作物新品种选育和种子生产经营审批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取消该项许可审批，与“农作物种子生产经营（外商投资企业）许可证核发”合并办理。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转基因棉花种子生产经营许可证核发（初审）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取消省农业农村厅实施的该项可证核发（初审），申请人直接向农业农村部提出申请。</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取消省农业农村厅实施的该项初审，申请人直接向农业农村部提出申请。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15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水产良种场的水产苗种生产许可证核发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不再保留水产良种场类别，原有良种场纳入一般水产苗种场管理，不再实施特别的管理措施。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5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原油销售经营批准证书、成品油批发经营批准证书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56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31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原油仓储经营批准证书、成品油仓储经营批准证书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3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开办诊所不再向卫生健康部门申办设置审批，直接办理诊所执业备案。</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医疗服务监管信息系统，要求诊所将诊疗信息及时上传信息系统。2.加强监督管理，根据相关管理规定，发现问题依法严肃处理。3.将诊所执业状况记入诊所主要负责人个人诚信记录，强化信用约束。4.向社会公开诊所有关信息和医师、护士注册信息，加强行业自律和社会监督。</w:t>
            </w:r>
          </w:p>
        </w:tc>
      </w:tr>
      <w:tr>
        <w:trPr>
          <w:cantSplit/>
          <w:trHeight w:val="4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取消该项许可审批，纳入“母婴保健专项技术服务许可”进行统一审批管理。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1.加强监督管理，发现违法违规行为要依法查处并公开结果。2.加强信用监管，将计划生育技术服务机构执业状况记入信用记录并依法向社会公布。3.依法及时处理投诉举报。</w:t>
            </w:r>
          </w:p>
        </w:tc>
      </w:tr>
      <w:tr>
        <w:trPr>
          <w:cantSplit/>
          <w:trHeight w:val="73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部分医疗机构（除三级医院、三级妇幼保健院、急救中心、急救站、临床检验中心、中外合资合作医疗机构、港澳台独资医疗机构外）《设置医疗机构批准书》核发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除三级医院、三级妇幼保健院、急救中心、急救站、临床检验中心、中外合资合作医疗机构、港澳台独资医疗机构外，举办其他医疗机构，不再申请办理《设置医疗机构批准书》，在执业登记时发放《医疗机构执业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16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职业卫生技术服务机构甲级资质认可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1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9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引导加强行业自律、规范从业行为、落实主体责任。2.加强对从业行为的监督抽查，对不具备从业条件、弄虚作假等违法违规行为要依法查处。3.对投诉举报多的机构实施重点监管。4.对造成人员死亡或重大社会影响的火灾，倒查中介服务机构主体责任，依法严肃查处。</w:t>
            </w:r>
          </w:p>
        </w:tc>
      </w:tr>
      <w:tr>
        <w:trPr>
          <w:cantSplit/>
          <w:trHeight w:val="209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银行间债券市场做市商审批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52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进出口商品检验鉴定业务的检验许可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市场监管总局根据海关总署关于进出口商品检验机构的特别准入要求，拟定检验检测机构（进出口商品检验领域）资质准入的特别条件。新增、变更业务范围的检验检测机构（进出口商品检验领域）或续期的进出口商品检验机构直接向市场监管部门申请办理有关许可，市场监管部门审批时征求海关总署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检验检测机构（进出口商品检验领域）的还要及时推送至海关。2.海关依法对检验检测机构（进出口商品检验领域）检验检测活动进行监管，指导有关检验检测机构提升业务能力和管理水平。在海关日常监管中，发现违法违规行为要依法查处并向社会公开结果，及时通报有关市场监管部门。3.市场监管部门会同海关推进跨部门联合监管，减轻企业监管负担。</w:t>
            </w:r>
          </w:p>
        </w:tc>
      </w:tr>
      <w:tr>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从事强制性认证以及相关活动的检查机构指定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由从事强制性认证活动的认证机构对工厂检查结果及认证结论负责。2.开展“双随机、一公开”监管，发现认证机构或其委托的检查机构在工厂检查过程中存在违法行为或出具虚假检查报告的，依法严肃查处。3.将认证机构和检查机构纳入信用监管范围，依法依规建立工厂检查员黑名单制度，依法向社会公开信用记录。4.督促认可机构加强认可管理。5.发挥行业协会自律作用。</w:t>
            </w:r>
          </w:p>
        </w:tc>
      </w:tr>
      <w:tr>
        <w:trPr>
          <w:cantSplit/>
          <w:trHeight w:val="19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广告发布登记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关于准予广告发布登记的通知书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《中华人民共和国广告法》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1.加大广告监测力度，发现广告发布机构发布虚假违法广告要依法查处。2.加强协同监管，联合有关部门共同做好广告发布机构监管工作。</w:t>
            </w:r>
          </w:p>
        </w:tc>
      </w:tr>
      <w:tr>
        <w:trPr>
          <w:cantSplit/>
          <w:trHeight w:val="2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取消省广电局实施的该项许可审批，申请人直接向广电总局提出申请。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160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取消该项许可审批，中央储备粮由中国储备粮管理集团有限公司直属企业承储。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1.通过“双随机、一公开”监管、重点监管等方式，依法查处违法行为。2.加强信用监管，依法向社会公布企业信用状况，依法依规对失信主体开展失信惩戒。</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第二类武器装备科研生产许可（初审）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取消省国防科工局实施的该项许可审批，申请人直接向国家国防科工局提出申请。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跨部门联合监管等，发现问题及时依法处理。2.依法及时处理投诉举报。3.强化信用约束，对弄虚作假、提供假冒伪劣产品等严重失信的企事业单位，依法依规将其列入失信黑名单并通报。4.强化属地管理，省国防科工局对本行政区域内从事生产活动的单位加强监管。</w:t>
            </w:r>
          </w:p>
        </w:tc>
      </w:tr>
      <w:tr>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三级国防计量技术机构设置审批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将国防计量技术机构资质由三级调整为两级，将二级资质的许可条件调整为目前三级资质的许可条件。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rPr>
          <w:cantSplit/>
          <w:trHeight w:val="2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在草原上开展经营性旅游活动审批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草原作业许可证（草原经营性旅游活动）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《中华人民共和国草原法》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开展“双随机、一公开”监管，在草原征占用行为监管过程中，一并对有关经营性旅游活动进行检查，发现违法违规行为要依法查处并公开结果。</w:t>
            </w:r>
          </w:p>
        </w:tc>
      </w:tr>
      <w:tr>
        <w:trPr>
          <w:cantSplit/>
          <w:trHeight w:val="20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林草种子（林木良种苗木）生产经营许可证核发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不再保留林木良种苗木类别，原有林木良种苗木纳入一般林木种苗管理，不再实施特别的管理措施。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rPr>
          <w:cantSplit/>
          <w:trHeight w:val="23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林草种子（选育生产经营相结合单位）生产经营许可证核发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不再保留林草种子选育生产经营相结合单位类别，原有单位纳入一般林草种子生产经营企业管理，不再实施特别的管理措施。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林草种子质量检验机构资质考核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草种子质量检验机构的特别准入要求。新增或续期的林草种子质量检验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木种子质量检验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rPr>
          <w:cantSplit/>
          <w:trHeight w:val="3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林业质检机构资质审查认可授权证书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《中华人民共和国标准化法实施条例》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业质检机构的特别准入要求。新增或续期的林业质检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业质检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rPr>
          <w:cantSplit/>
          <w:trHeight w:val="20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设立国际机场审批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取消民航局该项许可审批，新设国际机场依法办理口岸设置有关手续后无需向民航局申办该项许可。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经营境内邮政通信业务审批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1.严格执行法律法规的规定，对经营邮政通信业务企业加强监督。2.开展“双随机、一公开”监管，发现违法违规行为要依法查处并公开结果。</w:t>
            </w:r>
          </w:p>
        </w:tc>
      </w:tr>
      <w:tr>
        <w:trPr>
          <w:cantSplit/>
          <w:trHeight w:val="26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将文物保护工程勘察设计资质由三级调整为两级，取消丙级资质，相应调整乙级资质的许可条件。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26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文物保护工程施工三级资质审批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施工单位资质由三级调整为两级，取消三级资质，相应调整二级资质的许可条件。2.对尚未核定公布为文物保护单位的不可移动文物的保养维护工程、抢险加固工程、修缮工程，取消对施工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监理单位资质由三级调整为两级，取消丙级资质，相应调整乙级资质的许可条件。2.对尚未核定公布为文物保护单位的不可移动文物的保养维护工程、抢险加固工程、修缮工程，取消对监理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19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rPr>
          <w:cantSplit/>
          <w:trHeight w:val="2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将武器装备科研生产单位保密资格由三级调整为两级，取消三级资格，相应优化二级资格的许可条件。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1.开展“双随机、一公开”监管，继续采取飞行检查，完善联动处置机制，发现违规行为要依法查处。2.将监管结果纳入市场主体的社会信用记录，增强保密资格单位的保密意识，提高保密管理水平。</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人民防空工程建设设计资质证书（乙级资质）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人民防空工程建设监理单位资质等级证书（甲级资质）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3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备案内容真实性的核查，发现未依法备案、提供虚假备案材料、不符合法定条件的，依法进行处理。2.开展“双随机、一公开”监管、重点监管，及时处理投诉举报，依法查处违法违规行为。3.加强跨部门联合监管和信用监管，依法依规对失信主体开展失信惩戒。</w:t>
            </w:r>
          </w:p>
        </w:tc>
      </w:tr>
      <w:tr>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施工企业资质认定（专业作业）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弄虚作假行为，对弄虚作假的企业依法予以处理。3.加强信用监管，依法依规对失信主体开展失信惩戒。</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机动车驾驶员培训许可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信用管理制度，强化对驾驶培训机构和教练员的信用监管。2.加强与公安、市场监管部门的信息共享，实施跨部门联合监管。3.开展“双随机、一公开”监管，对培训学时造假等违法违规行为依法查处并公开结果。4.严厉打击虚假备案行为，对弄虚作假的培训机构依法处理，情节严重的实行行业禁入。</w:t>
            </w:r>
          </w:p>
        </w:tc>
      </w:tr>
      <w:tr>
        <w:trPr>
          <w:cantSplit/>
          <w:trHeight w:val="2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1.开展“双随机、一公开”监管，发现违法违规行为要依法查处。2.根据投诉举报实施重点监管。3.加强信用监管，依法向社会公布新农药登记试验单位信用状况，依法依规对失信主体开展失信惩戒。</w:t>
            </w:r>
          </w:p>
        </w:tc>
      </w:tr>
      <w:tr>
        <w:trPr>
          <w:cantSplit/>
          <w:trHeight w:val="52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肥料登记（大量元素水溶肥料、中量元素水溶肥料、微量元素水溶肥料、农用氯化钾镁、农用硫酸钾镁、复混肥料、掺混肥料）</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对大量元素水溶肥料、中量元素水溶肥料、微量元素水溶肥料、农用氯化钾镁、农用硫酸钾镁、复混肥料、掺混肥料产品，取消许可准入管理，改为备案管理。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rPr>
          <w:cantSplit/>
          <w:trHeight w:val="20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省商务部门；市商务局；县（区）商务或行政审批部门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eastAsia="zh-CN"/>
              </w:rPr>
            </w:pPr>
            <w:r>
              <w:rPr>
                <w:rFonts w:hint="eastAsia" w:ascii="仿宋" w:hAnsi="仿宋" w:eastAsia="仿宋" w:cs="仿宋"/>
                <w:color w:val="auto"/>
                <w:kern w:val="0"/>
                <w:sz w:val="18"/>
                <w:szCs w:val="18"/>
              </w:rPr>
              <w:t>实行</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多证合一、一照一码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改革，由企业登记部门将对外贸易经营者备案登记相关信息推送至商务部门，企业不需再到商务部门办理备案登记</w:t>
            </w:r>
            <w:r>
              <w:rPr>
                <w:rFonts w:hint="eastAsia" w:ascii="仿宋" w:hAnsi="仿宋" w:eastAsia="仿宋" w:cs="仿宋"/>
                <w:color w:val="auto"/>
                <w:kern w:val="0"/>
                <w:sz w:val="18"/>
                <w:szCs w:val="18"/>
                <w:lang w:eastAsia="zh-CN"/>
              </w:rPr>
              <w:t>。</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等事中事后监管，发现违法违规行为要依法查处并公开结果，对严重违法违规的企业要依法联合实施市场禁入措施。2.加强信用监管，建立经营主体信用记录，依法依规实施失信惩戒。3.支持行业协会发挥自律作用。</w:t>
            </w:r>
          </w:p>
        </w:tc>
      </w:tr>
      <w:tr>
        <w:trPr>
          <w:cantSplit/>
          <w:trHeight w:val="30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取消对诊所执业的许可准入管理，改为备案管理。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诊所备案制度，及时将备案诊所纳入医疗质量控制体系。加强对未备案行为的监管。2.完善医疗服务监管信息系统，要求诊所将诊疗信息及时上传信息系统。3.加强监督管理，根据相关管理规定，发现问题依法严肃处理。4.依法将诊所执业状况记入诊所主要负责人个人诚信记录，强化信用约束。5.向社会公开诊所备案信息和医师、护士注册信息，加强行业自律和社会监督。</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报关企业注册登记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中华人民共和国报关单位注册登记证书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直属海关或者其授权的隶属海关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取消对报关企业的许可准入管理，改为备案管理。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1.将报关企业备案纳入“多证合一”范围，在企业登记注册环节一并办理备案手续。2.</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部门将备案信息推送至海关，海关做好对备案信息的核对工作。3.加强信用监管，综合运用稽查、缉私等方面数据，及时调整企业信用等级。4.加强报关企业年报管理。</w:t>
            </w:r>
          </w:p>
        </w:tc>
      </w:tr>
      <w:tr>
        <w:trPr>
          <w:cantSplit/>
          <w:trHeight w:val="21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取消对出口食品生产企业的许可准入管理，改为备案管理。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出口食品生产企业备案管理系统，利用通关数据校验有关信息。2.强化海关与市场监管等部门之间的信息共享。3.加强信用监管，多渠道完善信用信息采集。4.通过企业年报、现场检查等方式，对出口食品生产企业实施监管。</w:t>
            </w:r>
          </w:p>
        </w:tc>
      </w:tr>
      <w:tr>
        <w:trPr>
          <w:cantSplit/>
          <w:trHeight w:val="31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食品经营许可（仅销售预包装食品）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1.对仅销售预包装食品的企业，取消食品经营许可，改为备案管理。2.将“食品经营备案（仅销售预包装食品）”纳入“多证合一”范围，在企业登记注册环节一并办理备案手续。</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备案企业加强监督检查，重点检查备案信息与实际情况是否相符、备案企业是否经营预包装食品以外的其他食品，依法严厉打击违规经营行为。2.加强食品销售风险分级管理和信用监管，将虚假备案、违规经营等信息记入企业食品安全信用记录，依法依规对失信主体开展失信惩戒，依法查处违法违规行为。3.畅通投诉举报渠道，强化社会监督。</w:t>
            </w:r>
          </w:p>
        </w:tc>
      </w:tr>
      <w:tr>
        <w:trPr>
          <w:cantSplit/>
          <w:trHeight w:val="20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资信评级机构从事证券服务业审批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批准文件、中华人民共和国证券市场资信评级业务许可证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取消“资信评级机构从事证券服务业审批”，改为备案管理。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落实辖区监管责任，强化一线监管和自律管理职能，加强行政监管、自律管理、稽查执法和刑事追责的衔接配合。</w:t>
            </w:r>
          </w:p>
        </w:tc>
      </w:tr>
      <w:tr>
        <w:trPr>
          <w:cantSplit/>
          <w:trHeight w:val="1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财务顾问机构从事证券服务业审批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取消“财务顾问机构从事证券服务业审批”，改为备案管理。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加强非现场检查和现场监管，及时处理投诉举报，发现违法违规行为要依法查处并公开结果。</w:t>
            </w:r>
          </w:p>
        </w:tc>
      </w:tr>
      <w:tr>
        <w:trPr>
          <w:cantSplit/>
          <w:trHeight w:val="22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《粮食流通管理条例》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省粮食和储备部门;市行政审批局；县（区）行政审批部门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取消“粮食收购资格认定”，改为备案管理。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违规企业。2.加强信用监管，依法向社会公布企业信用状况，依法依规对失信主体开展失信惩戒。3.严厉打击备案弄虚作假行为，对提交虚假备案信息的企业依法予以处理。</w:t>
            </w:r>
          </w:p>
        </w:tc>
      </w:tr>
      <w:tr>
        <w:trPr>
          <w:cantSplit/>
          <w:trHeight w:val="3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非经营性通用航空活动登记核准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《中华人民共和国民用航空法》《国务院关于通用航空管理的暂行规定》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对非经营性通用航空企业取消许可准入管理，改为备案管理。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开展民用航空器国籍登记证、适航证和电台执照核发、驾驶员资质管理、飞行计划审批、飞行活动信息统计等工作，对非经营性航空活动的实施主体、航空器、驾驶员和飞行活动地点、时间、过程等各环节、各要素实施全面管理，实现对非经营性通用航空活动的持续安全管理。2.对非经营性通用航空活动进行监管，依法查处违法违规行为。3.加强通用航空诚信体系建设，强化对非经营性通用航空活动主体的信用约束。</w:t>
            </w:r>
          </w:p>
        </w:tc>
      </w:tr>
      <w:tr>
        <w:trPr>
          <w:cantSplit/>
          <w:trHeight w:val="19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民航企业及机场联合、重组和改制审批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准予许可的批复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取消“民航企业及机场联合、重组和改制审批”，改为备案管理。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1.开展“双随机、一公开”监管、重点监管和非现场监管，及时处理投诉举报。2.完善民航企业及机场年度报告制度。3.加强信用监管，对因严重失信行为被记入信用记录的企业依法实施失信惩戒。</w:t>
            </w:r>
          </w:p>
        </w:tc>
      </w:tr>
      <w:tr>
        <w:trPr>
          <w:cantSplit/>
          <w:trHeight w:val="24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《国务院对确需保留的行政审批项目设定行政许可的决定》《旅馆业治安管理办法》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w:t>
            </w:r>
          </w:p>
        </w:tc>
      </w:tr>
      <w:tr>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《国务院对确需保留的行政审批项目设定行政许可的决定》《印铸刻字业暂行管理规则》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公章刻制备案管理，督促公章刻制企业严格落实公章刻制备案管理要求，及时规范上传、报送公章刻制备案信息。</w:t>
            </w:r>
          </w:p>
        </w:tc>
      </w:tr>
      <w:tr>
        <w:trPr>
          <w:cantSplit/>
          <w:trHeight w:val="174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互联网上网服务营业场所信息网络安全审核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信用监管，建立从业人员信用记录，依法依规对失信主体开展失信惩戒。</w:t>
            </w:r>
          </w:p>
        </w:tc>
      </w:tr>
      <w:tr>
        <w:trPr>
          <w:cantSplit/>
          <w:trHeight w:val="2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会计师事务所分支机构设立审批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的会计师事务所分支机构，在一定期限内进行全覆盖检查，加强对其承诺内容真实性的核查，发现虚假承诺或承诺严重不实的要依法处理。2.开展“双随机、一公开”监管，并根据会计师事务所受到处罚情况、其他部门移交线索、群众举报等实施重点监管。3.加强信用监管，完善会计师事务所黑名单制度，依法依规对失信主体开展失信惩戒。</w:t>
            </w:r>
          </w:p>
        </w:tc>
      </w:tr>
      <w:tr>
        <w:trPr>
          <w:cantSplit/>
          <w:trHeight w:val="28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中介机构从事代理记账业务审批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代理记账许可证书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《中华人民共和国会计法》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县（区）财政或行政审批部门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代理记账资格的中介机构，在一定期限内进行全覆盖检查，加强对其承诺内容真实性的核查，发现虚假承诺或承诺严重不实的要依法处理。2.开展“双随机、一公开”监管，并根据企业受到处罚情况、其他部门移交线索、群众举报等实施重点监管。3.加强信用监管，依法向社会公布中介机构信用状况和违法中介机构名单，依法依规对失信主体开展失信惩戒。</w:t>
            </w:r>
          </w:p>
        </w:tc>
      </w:tr>
      <w:tr>
        <w:trPr>
          <w:cantSplit/>
          <w:trHeight w:val="44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民办职业培训学校设立、分立、合并、变更及终止审批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1.开展“双随机、一公开”监管，发现违法违规行为要依法查处并公开结果。2.加强信用监管，依法向社会公布民办职业培训学校信用状况，依法依规对失信主体开展失信惩戒。</w:t>
            </w:r>
          </w:p>
        </w:tc>
      </w:tr>
      <w:tr>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经营性中外合作职业技能培训机构设立、分立、合并、变更、终止审批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中外合作办学许可证、内地与港澳台地区合作办学许可证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《中华人民共和国中外合作办学条例》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1.开展“双随机、一公开”监管，发现违法违规行为要依法查处并公开结果。2.加强信用监管，依法向社会公布经营性中外合作职业技能培训机构信用状况，依法依规对失信主体开展失信惩戒。</w:t>
            </w:r>
          </w:p>
        </w:tc>
      </w:tr>
      <w:tr>
        <w:trPr>
          <w:cantSplit/>
          <w:trHeight w:val="40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《中华人民共和国就业促进法》《人力资源市场暂行条例》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1.开展“双随机、一公开”监管，发现违法违规行为要依法查处并公开结果。2.加强信用监管，依法向社会公布人力资源服务机构信用状况，依法依规对失信主体开展失信惩戒。</w:t>
            </w:r>
          </w:p>
        </w:tc>
      </w:tr>
      <w:tr>
        <w:trPr>
          <w:cantSplit/>
          <w:trHeight w:val="3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5.修改完善城乡规划编制单位资质管理规定。</w:t>
            </w:r>
          </w:p>
        </w:tc>
      </w:tr>
      <w:tr>
        <w:trPr>
          <w:cantSplit/>
          <w:trHeight w:val="2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（环境卫生）部门；市行政审批局；县（区）住建（环境</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构建生活垃圾经营性服务全过程监管体系，强化日常监管。3.推动生活垃圾无害化处理设施建设和运营信息公开。</w:t>
            </w:r>
          </w:p>
        </w:tc>
      </w:tr>
      <w:tr>
        <w:trPr>
          <w:cantSplit/>
          <w:trHeight w:val="23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建立健全水运工程监理企业黑名单制度。4.发挥行业协会自律作用。</w:t>
            </w:r>
          </w:p>
        </w:tc>
      </w:tr>
      <w:tr>
        <w:trPr>
          <w:cantSplit/>
          <w:trHeight w:val="2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水运工程监理企业机电专项资质认定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构建水运工程监理企业黑名单制度。4.发挥行业协会自律作用。</w:t>
            </w:r>
          </w:p>
        </w:tc>
      </w:tr>
      <w:tr>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道路货运经营许可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登记许可信息共享。2.在实施许可后一定时期内加强监督检查，对不符合承诺条件开展经营的要责令限期整改，逾期不整改或整改后仍达不到要求的，要依法撤销许可证件。3.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道路旅客运输站经营许可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的登记许可信息共享。2.向社会公开承诺内容，加强社会监督。3.在实施许可后一定时期内加强监督检查，对不符合承诺条件开展经营的要责令限期整改，逾期不整改或整改后仍达不到要求的，要依法撤销许可证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核查，发现虚假承诺行为要依法处理。2.开展“双随机、一公开”监管，发现违法违规行为要依法查处并公开结果。3.加强“互联网+监管”，通过信息化手段强化对企业投标及履约行为的监管。4.加强信用监管，依法向社会公布公路工程监理企业信用状况，拓展信用评价结果应用范围，依法依规实行失信惩戒。5.依法及时处理投诉举报。6.发挥行业协会自律作用。</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单位实施重点监管，加强对企业承诺内容真实性的核查，发现虚假承诺或者承诺严重不实的要依法处理。2.加强信用监管，依法向社会公布水利工程质量检测单位（乙级）信用状况，依法依规对失信主体加大抽查比例并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从事拍卖业务许可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拍卖经营批准证书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《中华人民共和国拍卖法》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1.加强部门间信息共享，统一归集企业信用信息，依法进行公示。2.完善拍卖企业年度核查制度。3.密切与有关部门的联系协调，加强跨部门监管。4.支持行业协会发挥自律作用。</w:t>
            </w:r>
          </w:p>
        </w:tc>
      </w:tr>
      <w:tr>
        <w:trPr>
          <w:cantSplit/>
          <w:trHeight w:val="3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1.开展“双随机、一公开”监管，发现违法违规行为要依法查处并公开结果。2.加强信用监管，向社会公布卫生状况存在严重问题的公共场所信息。3.畅通投诉举报渠道，依法及时处理投诉举报。</w:t>
            </w:r>
          </w:p>
        </w:tc>
      </w:tr>
      <w:tr>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社会办医疗机构乙类大型医用设备配置许可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乙类大型医用设备配置许可证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提供虚假材料、未达到承诺要求或者采取其他欺骗手段取得配置许可证的要依法处理。2.加强医疗机构执业活动监管，发现违法违规行为要依法查处并公开结果。3.加强信用监管，向社会公布配置乙类大型医用设备医疗机构的信用状况。4.依法及时处理投诉举报。5.加强行业自律。</w:t>
            </w:r>
          </w:p>
        </w:tc>
      </w:tr>
      <w:tr>
        <w:trPr>
          <w:cantSplit/>
          <w:trHeight w:val="48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市消防救援支队；县（区）消防救援机构或应急部门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场所实施重点监管。2.公众聚集场所发生造成人员死亡或重大社会影响的火灾，倒查使用管理方主体责任，依法严肃查处。3.加强信用监管，依法向社会公布公众聚集场所消防安全检查情况，依法依规对失信主体加大抽查比例并开展失信惩戒。</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口岸卫生许可证（涉及公共场所）核发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企业，加强对其承诺内容真实性的核查，发现虚假承诺或承诺严重不实的要依法处理。2.开展“双随机、一公开”监管，发现违法违规行为要依法查处并公开结果。3.对许可证有效期届满延期换证的企业，在日常监管中核查承诺情况。</w:t>
            </w:r>
          </w:p>
        </w:tc>
      </w:tr>
      <w:tr>
        <w:trPr>
          <w:cantSplit/>
          <w:trHeight w:val="50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《中华人民共和国计量法》《中华人民共和国食品安全法》《中华人民共和国计量法实施细则》《中华人民共和国认证认可条例》《医疗器械监督管理条例》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社会关注度高、风险等级高、投诉举报多的领域实施重点监管。2.对以告知承诺方式取得资质认定的机构，加强对其承诺内容真实性的核查，发现虚假承诺或者承诺严重不实的要依法处理。3.加强信用监管，依法向社会公布检验检测机构信用状况，依法依规对失信主体加大抽查比例并开展失信惩戒。</w:t>
            </w:r>
          </w:p>
        </w:tc>
      </w:tr>
      <w:tr>
        <w:trPr>
          <w:cantSplit/>
          <w:trHeight w:val="29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设立认证机构（低风险等级）审批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认证行业监测，针对发现的普遍性问题和突出风险开展专项检查，确保不发生系统性、区域性风险。4.加强信用监管，依法依规完善认证领域黑名单制度，并建立失信主体失信惩戒制度。</w:t>
            </w:r>
          </w:p>
        </w:tc>
      </w:tr>
      <w:tr>
        <w:trPr>
          <w:cantSplit/>
          <w:trHeight w:val="4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重要工业产品生产许可证核发（食品相关产品、化肥、危险化学品包装物及容器和电线电缆产品）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省市场监管局；市市场监管局（初审）</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1.对通过告知承诺取得许可证（包括许可范围变更）的企业开展例行检查，发现虚假承诺或者承诺严重不实的要依法处理。2.对许可有效期届满延期换证的企业，在日常监管中核查承诺情况。</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食品（含食品添加剂）生产许可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 为“实行告知承诺”：对部分低风险食品生产许可试点实施告知承诺。2.除特殊食品（包括保健食品、婴幼儿配方食品和特殊医学用途配方食品）、婴幼儿辅助食品、食盐外，将审批权限由省市场监管局下放至设区的市、县级市场监管部门。3.实现申请、审批全程网上办理。4.不再要求申请人提供营业执照、食品安全管理制度文本等材料，但申请特殊食品生产许可的应提交与所生产食品相适应的生产质量管理体系文件。5.将审批时限由10个工作日压减至6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信息公示力度，向社会公开食品生产许可信息。2.加强日常监督检查，根据食品生产企业风险分级情况确定检查频次，开展监督检查并向社会公开检查结果。3.加强信用监管，依法依规对失信主体开展失信惩戒。</w:t>
            </w:r>
          </w:p>
        </w:tc>
      </w:tr>
      <w:tr>
        <w:trPr>
          <w:cantSplit/>
          <w:trHeight w:val="15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rPr>
          <w:cantSplit/>
          <w:trHeight w:val="16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rPr>
          <w:cantSplit/>
          <w:trHeight w:val="3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111</w:t>
            </w:r>
          </w:p>
        </w:tc>
        <w:tc>
          <w:tcPr>
            <w:tcW w:w="587"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从事包装装潢印刷品和其他印刷品（不含商标、票据、保密印刷）印刷经营活动企业（不含外资企业）的设立、变更审批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发现企业不符合承诺条件开展经营的责令限期整改，逾期不整改或整改后仍达不到要求的依法撤销许可证件。3.依法及时处理投诉举报。</w:t>
            </w:r>
          </w:p>
        </w:tc>
      </w:tr>
      <w:tr>
        <w:trPr>
          <w:cantSplit/>
          <w:trHeight w:val="20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《中华人民共和国电力法》《电力供应与使用条例》《电力监管条例》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rPr>
          <w:cantSplit/>
          <w:trHeight w:val="31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林草种子（普通）生产经营许可证核发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省林草部门；市行政审批局；县（区）规划和自然资源</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1.开展“双随机、一公开”监管，发现违法违规行为要依法查处并公开结果。2.制定核查办法，明确核查时间、标准、方式，优化现场检查程序。3.加强信用监管，建立企业信用记录并依法向社会公开。</w:t>
            </w:r>
          </w:p>
        </w:tc>
      </w:tr>
      <w:tr>
        <w:trPr>
          <w:cantSplit/>
          <w:trHeight w:val="4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由国家林草局审批的国家重点保护陆生野生动物人工繁育许可证核发（已制定人工繁育技术标准的物种）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省级权限内国家重点保护陆生野生动物人工繁育许可证核发（已制定人工繁育技术标准的物种和列入人工繁育国家重点保护陆生野生动物目录的物种）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rPr>
          <w:cantSplit/>
          <w:trHeight w:val="20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rPr>
          <w:cantSplit/>
          <w:trHeight w:val="26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医疗机构使用放射性药品（一、二类）许可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医疗机构，加强对其承诺真实性的核查，发现虚假承诺或承诺严重不实的要依法处理。2.加强药监、卫生健康、生态环境等部门间的协调配合，及时共享医疗机构使用放射性药品信息。3.加强对医疗机构使用放射性药品的日常监管。4.及时向社会公开许可证有关信息，加强社会监督。</w:t>
            </w:r>
          </w:p>
        </w:tc>
      </w:tr>
      <w:tr>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省市场监管局（省知识产权局）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证的专利代理机构，加强对其承诺内容真实性的核查，发现虚假承诺或者承诺不实的要依法处理。2.开展“双随机、一公开”监管，对通过投诉举报等渠道反映问题多的专利代理机构实施重点监管。3.加强信用监管，向社会公布专利代理机构信用状况，依法依规对失信主体开展失信惩戒。</w:t>
            </w:r>
          </w:p>
        </w:tc>
      </w:tr>
      <w:tr>
        <w:trPr>
          <w:cantSplit/>
          <w:trHeight w:val="40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施工企业资质认定（部分施工总承包乙级资质，部分专业承包资质，燃气燃烧器具安装维修企业资质）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1.燃气燃烧器具安装、维修企业资质认定由市住建局划转至市行政审批服务管理局。2.申请人承诺已经具备许可条件的，经形式审查后当场作出审批决定。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3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施工企业资质认定（部分施工总承包甲级、乙级资质，部分专业承包资质）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《中华人民共和国建筑法》《建设工设部门程安全生产管理条例》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5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工程设计企业资质认定（部分行业乙级资质及部分专业乙级资质）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4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工程监理企业资质认定（部分专业甲级资质，部分专业乙级资质）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6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8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不具备安全生产条件的，对其依法责令限期整改，或实施暂扣或吊销安全生产许可证等处罚。2.严格开展事故企业安全生产条件复核，对事故责任主体依法实施暂扣或吊销安全生产许可证等处罚，并对其建筑施工活动实施重点监管。3.强化信用监管，将违法失信主体纳入安全生产不良信用记录和“黑名单“，实施联合惩戒。</w:t>
            </w:r>
          </w:p>
        </w:tc>
      </w:tr>
      <w:tr>
        <w:trPr>
          <w:cantSplit/>
          <w:trHeight w:val="25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生鲜乳准运证明应具备的条件和需提交的材料（包括车辆行驶证复印件及车辆照片、车辆贮奶罐合格证明材料、车辆所有者身份证明和驾驶员、押运员身份证及健康证）。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1.开展“双随机、一公开”监管，发现违法违规行为要依法查处并公开结果。2.加强对生鲜乳运输车辆的监管，将车辆全部纳入监管监测信息系统，实时掌握运营情况。</w:t>
            </w:r>
          </w:p>
        </w:tc>
      </w:tr>
      <w:tr>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兽药经营许可证核发（非生物制品类）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一次性告知申请人申办兽药经营许可证应具备的条件和需提交的材料，申请人承诺符合条件并提交材料的，当场作出审批决定。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经营许可证的企业，加强对其承诺内容真实性的核查，发现虚假承诺或承诺严重不实的要依法处理。2.开展“双随机、一公开”监管，对风险等级高、投诉举报多的企业增加抽检数量和频次，实施重点监管。</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对动物诊疗机构应当具备的条件和技术能力（包括面积、选址、布局、设施设备、制度、人员要求等）实行告知承诺，申请人承诺符合条件并提交材料的，当场作出审批决定。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1.开展“双随机、一公开”监管，发现违法违规行为要依法查处并公开结果。2.对以告知承诺方式取得经营许可证的企业，加强对其承诺内容真实性的核查，发现虚假承诺或承诺严重不实的要依法处理。</w:t>
            </w:r>
          </w:p>
        </w:tc>
      </w:tr>
      <w:tr>
        <w:trPr>
          <w:cantSplit/>
          <w:trHeight w:val="30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省文旅部门；市行政审批局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有关单位承诺已具备经营场所、营业设施、注册资本、经营管理人员和导游等许可条件，并承诺按时缴纳旅游服务质量保证金的，经形式审查后当场作出审批决定。2.网上办理审批业务并在网上公布审批程序、受理条件和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1.开展“双随机、一公开”监管，发现未经许可经营旅行社业务，出租、出借、转让业务经营许可证等违法违规行为的，要依法查处并公开结果。2.加强信用监管，对失信主体开展联合惩戒。</w:t>
            </w:r>
          </w:p>
        </w:tc>
      </w:tr>
      <w:tr>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对水运工程监理企业取得甲级资质应当具备的条件（包括人员、业绩、设备等）实行告知承诺，经形式审查后当场作出审批决定。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依法及时处理投诉举报。</w:t>
            </w:r>
          </w:p>
        </w:tc>
      </w:tr>
      <w:tr>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开展“双随机，一公开”监管，依法查处违法违规行为并公开结果。3.加强信用监管，对失信主体开展联合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中外合资、合作印刷企业和外商独资包装装潢印刷企业的设立、变更审批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公布告知承诺书示范文本，一次性告知审批条件和所需材料。申请人承诺已具备章程、确定的业务范围和适应业务需要的固定生产经营场所、设备、资金、组织机构、人员、管理制度、质量保证体系等条件的，经形式审查后当场作出审批决定。2.取消“经营包装装潢印刷品印刷业务的企业必须具备2台以上最近10年生产的胶印、凹印、柔印、丝印等及后序加工设备”的规定。3.进一步优化审批服务：将审批层级下放至县级新闻出版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发现企业不符合承诺条件开展经营的责令限期整改，逾期不整改或整改后仍达不到要求的依法撤销许可证件。3.依法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国内水路运输业务经营许可（不含省际旅客、 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企业应当具备的条件和技术能力（相关证书、人员、设施设备、管理制度等）实行告知承诺，经形式审查后当场作出审批决定。2.进一步优化审批服务，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1.对不符合承诺条件开展经营的责令限期整改;逾期不整改或整改后仍达不到要求的,依法撤销许可证件。2.加强信用监管,建立健全诚信管理制度,及时向社会公布水路运输企业信用状况。</w:t>
            </w:r>
          </w:p>
        </w:tc>
      </w:tr>
      <w:tr>
        <w:trPr>
          <w:cantSplit/>
          <w:trHeight w:val="2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水产苗种场（不含原种场）的水产苗种生产许可证核发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市农业农村局；县（区）农业农村（渔业）或行政审批部门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改革方式由“优化审批服务”调整为“实行告知承诺”：一次性告知申请人办理水产苗种生产审批应具备的条件和需提交的材料，申请人承诺符合条件并提交材料的，当场作出审批决定。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1.开展“双随机、一公开”监管，发现违法违规行为的依法查处。2.对风险等级较高、投诉举报多的企业实施重点监管。3.依法及时处理</w:t>
            </w:r>
            <w:r>
              <w:rPr>
                <w:rFonts w:hint="eastAsia" w:ascii="仿宋" w:hAnsi="仿宋" w:eastAsia="仿宋" w:cs="仿宋"/>
                <w:color w:val="auto"/>
                <w:kern w:val="0"/>
                <w:sz w:val="18"/>
                <w:szCs w:val="18"/>
                <w:lang w:eastAsia="zh-CN"/>
              </w:rPr>
              <w:t>投诉</w:t>
            </w:r>
            <w:r>
              <w:rPr>
                <w:rFonts w:hint="eastAsia" w:ascii="仿宋" w:hAnsi="仿宋" w:eastAsia="仿宋" w:cs="仿宋"/>
                <w:color w:val="auto"/>
                <w:kern w:val="0"/>
                <w:sz w:val="18"/>
                <w:szCs w:val="18"/>
              </w:rPr>
              <w:t>举报，处理结果向社会公开并记入企业信用档案。</w:t>
            </w:r>
          </w:p>
        </w:tc>
      </w:tr>
      <w:tr>
        <w:trPr>
          <w:cantSplit/>
          <w:trHeight w:val="4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除限制使用农药以外其他农药经营许可实行告知承诺，申请人承诺符合条件并提交材料的，当场作出审批决定。2.实现申请、审批网上办理。3.不再要求申请人同时提供申请材料的纸质文件和电子文档。4.不再要求提供身份证、营业执照等能通过部门共享获取的信息材料。不能通过部门共享获取的信息，由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加强行业监督，畅通投诉举报渠道，将有风险隐患、投诉举报较多的企业列入重点监管对象。3.对以告知承诺方式取得经营许可证的企业，加强对其承诺内容真实性的核查，发现虚假承诺或承诺严重不实的依法处理。</w:t>
            </w:r>
          </w:p>
        </w:tc>
      </w:tr>
      <w:tr>
        <w:trPr>
          <w:cantSplit/>
          <w:trHeight w:val="3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省农业农村部门；市农业农村局；县（区）农业农村或行政审批部门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动物防疫条件合格证核发（变更）实行告知承诺，一次性告知申请人申办动物防疫条件合格证核发应具备的条件和需提交的材料，申请人承诺符合条件并提交材料的，当场作出审批决定。2.实现申请、审批网上办理。3.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动物防疫条件合格证的企业，加强对其承诺内容真实性的核查，发现虚假承诺或承诺严重不实的依法处理。2.开展“双随机、一公开”监管，发现违法违规行为的依法查处并公开结果。3.强化社会监督，依法及时处理投诉举报。</w:t>
            </w:r>
          </w:p>
        </w:tc>
      </w:tr>
      <w:tr>
        <w:trPr>
          <w:cantSplit/>
          <w:trHeight w:val="36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游艺娱乐场所设立审批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改革方式由“优化审批服务”调整为“实行告知承诺”：申请人材料齐全，承诺已具备经营许可条件的，并经过公示、听证无异议的，当即作出行政许可决定，即可开展经营。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要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文艺表演团体设立审批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美术品进出口经营活动审批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1.改革方式由“优化审批服务”调整为“实行告知承诺”：申请人材料齐全，承诺已具备经营许可条件的，当即作出行政许可决定,现场核查通过后即可开展经营。2.审批层级已委托下放各设区的市。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放射源诊疗技术和医用辐射机构许可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改革方式由“优化审批服务”调整为“实行告知承诺”：放射源诊疗技术和医用辐射机构许可实行告知承诺制，申请人提交相关材料齐全并签订告知承诺书后，当场发放《放射诊疗许可证》。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放射诊疗许可证》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rPr>
          <w:cantSplit/>
          <w:trHeight w:val="37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麻醉药品和第一类精神药品购用印鉴卡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麻醉药品和第一类精神药品购用许可实行告知承诺制，申请人提交相关材料齐全并签订告知承诺书后，当场发放《麻醉药品和第一类精神药品购用印鉴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麻醉药品和第一类精神药品购用印鉴卡》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rPr>
          <w:cantSplit/>
          <w:trHeight w:val="735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生产用于传染病防治的消毒产品的单位审批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消毒产品生产企业卫生许可证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针对生产用于传染病防治的消毒产品的单位审批（延续）实行告知承诺。申请人提交相关材料齐全并签订告知承诺书后，当场发放《消毒产品生产企业卫生许可证》。2.推动实现申请、审批全程网上办理并在网上公开办理进度。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获准延续并取得《消毒产品生产企业卫生许可证》后，卫生健康行政部门在2个月内开展全覆盖例行检查，发现实际情况与承诺内容不符，确定无法达到延续条件或者经责令限期改正后仍不符合条件的，依法撤销行政许可决定。未达到延续条件而继续经营的，依法予以处罚。2.建立诚信档案。因失信被撤销许可决定的，记入诚信档案且2年内再次申请卫生行政许可时，不采取告知承诺制。3.开展“双随机、一公开”监管，发现违法违规行为的依法查处并公开结果。4.对违法宣传疗效、非法添加违禁物质等问题开展专项整治。5. 加强“互联网+监管”，开展消毒产品生产企业分类监督、综合评价工作。</w:t>
            </w:r>
          </w:p>
        </w:tc>
      </w:tr>
      <w:tr>
        <w:trPr>
          <w:cantSplit/>
          <w:trHeight w:val="7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承担国家法定计量检定机构任务授权审批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计量授权证书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省级以上市场监管部门；市行政审批局；县（区）市场监管或行政审批部门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改革方式由“优化审批服务”调整为“实行告知承诺”：对计量授权的新建、复查、扩项、变更等实行告知承诺，经形式审查后当场作出审批决定。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作出准予计量授权决定后30天内，对申请企业的承诺内容是否属实进行现场核查。2.对于申请人作出虚假承诺或者承诺内容严重不实的，由市场监管部门依照《中华人民共和国行政许可法》相关规定撤销许可决定，并予以公布。被市场监管部门依法撤销许可决定的企业，其基于本次行政许可取得的利益不受保护，对外出具的相关检定报告不具有证明作用，并承担因此引发的相应法律责任。3.申请企业作出虚假承诺、承诺内容严重不实的，由市场监管部门记入其信用档案，在该不良信息的保存和披露期限届满或者信用修复前，该企业不再适用告知承诺的计量授权方式。4.以告知承诺方式取得计量授权的企业发生其他违法违规行为，依照法律法规的相关规定，予以处理。</w:t>
            </w:r>
          </w:p>
        </w:tc>
      </w:tr>
      <w:tr>
        <w:trPr>
          <w:cantSplit/>
          <w:trHeight w:val="73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食品经营许可（除仅销售预包装食品外）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改革方式由“优化审批服务”调整为“实行告知承诺”：1.自愿接受评审且通过评审的直营连锁食品经营企业门店新开办许可(销售经营企业和餐饮经营企业) 。2.按照《山西省市场监督管理局关于深化食品经营许可改革的实施意见》（晋市监发〔2020〕401号）关于8类事项实行“告知承诺制”审批和推行品牌连锁便利店食品经营许可改革、“一照多证”改革、减少申请材料、压缩审批时间、优化许可事项等12项改革措施要求抓好落实。</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的食品经营者，市场监管部门在许可审批部门作出许可决定之日起30个工作日内实施检查，重点检查食品经营实际情况与承诺内容是否相符、食品经营条件是否符合要求。2.对检查发现食品经营条件不符合要求的，按照相关法律法规予以处理；对食品经营实际情况与承诺内容严重不符（不符合比例超过40%），以欺骗等不正当手段取得食品经营许可的，按照《食品经营许可管理办法》第四十七条规定予以处罚。</w:t>
            </w:r>
          </w:p>
        </w:tc>
      </w:tr>
      <w:tr>
        <w:trPr>
          <w:cantSplit/>
          <w:trHeight w:val="7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其中的液化石油气钢瓶检验机构实施告知承诺，在审批环节不再开展现场评审，企业提交申请书、检验报告、自查表、核查记录表、符合法律法规要求和保障质量安全承诺书后，经形式审查合格即发放许可证；对液化石油气钢瓶检验机构在许可周期内未发生行政处罚、责任事故、质量安全问题和质量投诉未结案等情况, 且满足检验业绩有关规定的单位, 在许可证书有效期满前, 采取单位自我声明承诺方式申请直接换证, 取消鉴定评审要求，但不可连续2个许可周期申请直接换证。2.实现申请、审批全过程网上办理，开通审批进度网上查询功能，实现“零跑”。3.压减审批要件，将一般许可申请资料简化为仅需要提交许可申请书。4.制定公布准确完备、简明扼要的服务指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未经现场评审，通过告知承诺获得许可证的单位，各设区市市场监管部门在发证后30天内开展后置现场核查，对不具备检验条件、提供虚假材料的予以依法处理。2.开展“双随机、一公开”监管，明确监督抽查比例和检查要求，发现违规违法行为的依法查处并公开结果。3.对有投诉举报和检验质量问题的机构实施重点监管。</w:t>
            </w:r>
          </w:p>
        </w:tc>
      </w:tr>
      <w:tr>
        <w:trPr>
          <w:cantSplit/>
          <w:trHeight w:val="75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《中华人民共和国特种设备安全法》《国务院对确需保留的行政审批项目设定行政许可的决定》《特种设备安全监察条例》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1.改革方式由“优化审批服务”调整为“实行告知承诺”：对特种设备生产单位在许可周期内未发生行政处罚、责任事故、质量安全问题和质量投诉未结案等情况, 且满足生产业绩有关规定的生产单位,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不再将型式试验和监督检验作为审批前置条件。6.进一步优化审批服务：将审批时限由30个工作日压减至9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对有投诉举报和质量问题的企业实施重点监管。3.检验检测机构在开展型式试验和监督检验时对持证生产单位是否符合许可条件进行检查, 发现问题及时报告有关部门。4.针对通过自我承诺申请直接换证的生产单位，发现提交的申请材料中有虚假内容的依法处理。</w:t>
            </w:r>
          </w:p>
        </w:tc>
      </w:tr>
      <w:tr>
        <w:trPr>
          <w:cantSplit/>
          <w:trHeight w:val="75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移动式压力容器、气瓶充装单位许可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移动式压力容器充装许可证、气瓶充装许可证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省市场监管局；市市场监管局（气瓶）</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1.改革方式由“优化审批服务”调整为“实行告知承诺”：对移动式压力容器、气瓶充装单位在许可周期内未发生行政处罚、责任事故、质量投诉未结案等情况, 且满足充装业绩有关规定的充装单位,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进一步优化审批服务：将审批时限由30个工作日压减至9个工作日。</w:t>
            </w:r>
            <w:r>
              <w:rPr>
                <w:rFonts w:hint="eastAsia" w:ascii="仿宋" w:hAnsi="仿宋" w:eastAsia="仿宋" w:cs="仿宋"/>
                <w:color w:val="auto"/>
                <w:kern w:val="0"/>
                <w:sz w:val="18"/>
                <w:szCs w:val="18"/>
                <w:lang w:val="en-US" w:eastAsia="zh-CN"/>
              </w:rPr>
              <w:t>6.长治</w:t>
            </w:r>
            <w:r>
              <w:rPr>
                <w:rFonts w:hint="eastAsia" w:ascii="仿宋" w:hAnsi="仿宋" w:eastAsia="仿宋" w:cs="仿宋"/>
                <w:color w:val="auto"/>
                <w:kern w:val="0"/>
                <w:sz w:val="18"/>
                <w:szCs w:val="18"/>
              </w:rPr>
              <w:t>市市场监管局</w:t>
            </w:r>
            <w:r>
              <w:rPr>
                <w:rFonts w:hint="eastAsia" w:ascii="仿宋" w:hAnsi="仿宋" w:eastAsia="仿宋" w:cs="仿宋"/>
                <w:color w:val="auto"/>
                <w:kern w:val="0"/>
                <w:sz w:val="18"/>
                <w:szCs w:val="18"/>
                <w:lang w:eastAsia="zh-CN"/>
              </w:rPr>
              <w:t>负责气瓶充装单位许可。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根据规定开展年度监督检查工作。3.对有投诉举报和发生充装事故的企业实施重点监管。4.针对通过自我承诺申请直接换证的充装单位，发现提交的申请材料中有虚假内容的依法处理。</w:t>
            </w:r>
          </w:p>
        </w:tc>
      </w:tr>
      <w:tr>
        <w:trPr>
          <w:cantSplit/>
          <w:trHeight w:val="2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设立健身气功站点审批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健身气功站点注册证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承诺符合条件并提交材料的，当场作出审批决定。2.推广全程网上办理，推进体育领域信息数据共享应用。3.将审批时限由20个工作日变为即时办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重点监管，发现违法违规行为的依法查处并公开结果。2.建立健全跨区域、跨层级、跨部门协同监管制度，推进联合执法。3.加强信用监管，将有严重违法违规行为的机构列入黑名单，对相关经营主体和从业人员实施信用约束和联合惩戒。</w:t>
            </w:r>
          </w:p>
        </w:tc>
      </w:tr>
      <w:tr>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商店设立应当具备的执业条件（包括注册资本、人员要求、保管文物的场所和设施条件、技术条件、消防验收材料、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商店设立准予行政许可决定书的文物商店，在一定期限内进行全覆盖检查，加强对其承诺内容真实性的核查。发现虚假承诺或承诺严重不实的，予以依法处理。2.开展“双随机、一公开”监管，并根据文物商店受到的处罚情况、其他部门移交线索、群众举报等，建立文物商店黑名单，对名单内企业实施重点监管。</w:t>
            </w:r>
          </w:p>
        </w:tc>
      </w:tr>
      <w:tr>
        <w:trPr>
          <w:cantSplit/>
          <w:trHeight w:val="27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拍卖企业应当具备的执业条件（包括注册资本、人员要求、必要的场所和设施条件、技术条件、近2年内无违法违规经营文物行为、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拍卖许可证的拍卖企业，在一定期限内进行全覆盖检查，加强对其承诺内容真实性的核查。发现虚假承诺或承诺严重不实的，予以依法处理。2.开展“双随机、一公开”监管，并根据文物拍卖企业受到的处罚情况、其他部门移交线索、群众举报等，建立文物拍卖企业黑名单，对名单内企业实施重点监管。</w:t>
            </w:r>
          </w:p>
        </w:tc>
      </w:tr>
      <w:tr>
        <w:trPr>
          <w:cantSplit/>
          <w:trHeight w:val="35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勘察设计单位的法定代表人任职文件、工作简历，文物保护工程责任设计师职业资格证、业务范围、社保证明、身份证、劳动合同、任职文件，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勘察设计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勘察设计资质单位黑名单制度，对失信主体开展联合惩戒。</w:t>
            </w:r>
          </w:p>
        </w:tc>
      </w:tr>
      <w:tr>
        <w:trPr>
          <w:cantSplit/>
          <w:trHeight w:val="3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文物保护工程施工二级资质审批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施工单位的法定代表人任职文件、工作简历，文物保护工程责任工程师职业资格证、业务范围、社保证明、身份证、劳动合同、任职文件，文物保护工程施工技术人员的施工类文物保护工程从业上岗证、社保证明、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的文物保护工程施工二级、三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施工资质单位黑名单制度，对失信主体开展联合惩戒。</w:t>
            </w:r>
          </w:p>
        </w:tc>
      </w:tr>
      <w:tr>
        <w:trPr>
          <w:cantSplit/>
          <w:trHeight w:val="35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监理单位的法定代表人任职文件、工作简历，文物保护工程责任监理师职业资格证、业务范围、社保证明、身份证、劳动合同、任职文件，文物保护工程监理员的监理类文物保护工程从业上岗证、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监理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监理资质单位黑名单制度，对失信主体开展联合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药品零售企业许可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申请筹建药品零售连锁总部、连锁门店、单体药店可采取告知承诺办理，符合要求当场发放同意筹建的许可决定书。药品零售企业申请药品经营许可证变更企业名称、法定代表人、企业负责人、企业质量负责人可采取告知承诺办理，符合要求当场变更药品经营许可证。2.不再要求申请人提供营业执照等材料。3.进一步压减药品零售企业许可事项审批时限。</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上通过告知承诺获得许可的企业，市、县（区）监管部门可通过书面资料核查、现场检查等方式对被许可人的承诺内容是否属实进行核查。对不具备许可条件、提供虚假材料的依法处理。在作出准予许可决定后3个月内，相关部门可通过书面资料核查、现场检查或组织属地监管部门现场检查等方式对被许可人的承诺内容是否属实进行核查。经核查不符合承诺内容的，按相关规定处理。2.落实“四个最严”要求，通过日常监管督促企业不断完善、改进质量管理体系，持续合法合规经营。对违法违规行为，依法严厉查处并公开曝光。</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升放无人驾驶自由气球、系留气球单位资质认定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升放气球资质证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企业提出资质认定申请，相关审批部门一次性告知其所需资质认定条件和要求以及相关材料，申请单位以书面形式承诺其符合法定条件和技术能力要求，由资质认定部门先行作出资质认定决定。2.不再要求申请人提供法人证书或营业执照原件。3.实现申请、审批全程网上办理并在网上公布审批程序、受理条件、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跨部门联合监管等方式，对升放无人驾驶自由气球、系留气球活动实施严格监管，发现违法违规行为的依法查处并公开结果。2.加强对升放气球行为的法律法规和科普宣传，提高升放单位和社会公众的安全意识。</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科技部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实验动物生产和使用许可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实验动物生产许可证、实验动物使用许可证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验动物生产许可证、使用许可证换证环节探索实施告知承诺制，实验动物生产许可证、使用许可证有效期满申请延续的，如申请单位承诺原许可范围及条件没有实质性变化，经形式审查后可直接作出许可决定。2.不再要求申请人提供营业执照复印件、工作人员体检证明、特殊工种证件复印件、经办人身份证复印件（含授权委托书）等材料。3.进一步压缩审批时间，从法定的20个工作日压缩到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1.开展“双随机、一公开”监管，发现违法违规行为要依法查处并公开结果。2.依法及时处理投诉举报。3.对初次申请的，在现场评估时进行合规性核查。</w:t>
            </w:r>
          </w:p>
        </w:tc>
      </w:tr>
      <w:tr>
        <w:trPr>
          <w:cantSplit/>
          <w:trHeight w:val="7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实施中等及中等以下学历教育、学前教育、自学考试助学及其他文化教育的民办学校设立、变更和终止审批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省教育部门；市行政审批局；县（区）教育或行政审批部门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rPr>
          <w:cantSplit/>
          <w:trHeight w:val="74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实施专科教育的高等学校和其他高等教育机构的设立、分立、合并、变更和终止审批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《中华人民共和国高等教育法》《中华人民共和国民办教育促进法》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省级人民政府或省教育厅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1.严格执行有关法律法规和标准，对食盐定点批发企业加强监管。2.加强信用监管，依法向社会公布食盐定点批发企业信用状况，依法依规对失信主体开展失信惩戒。</w:t>
            </w:r>
          </w:p>
        </w:tc>
      </w:tr>
      <w:tr>
        <w:trPr>
          <w:cantSplit/>
          <w:trHeight w:val="1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1.严格执行有关法律法规和标准，对食盐定点生产企业加强监管。2.加强信用监管，依法向社会公布食盐定点生产企业信用状况，依法依规对失信主体开展失信惩戒。</w:t>
            </w:r>
          </w:p>
        </w:tc>
      </w:tr>
      <w:tr>
        <w:trPr>
          <w:cantSplit/>
          <w:trHeight w:val="36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电信业务（基础电信业务）经营许可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28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电信业务（第一类增值电信业务）经营许可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28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电信业务（第二类增值电信业务）经营许可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17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《中华人民共和国电子签名法》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1.优化审批流程，将工业和信息化部审查和征求商务部意见两个环节由串联改为并联。2.将审批时限由45个工作日压减至40个工作日。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组织各级民爆行业主管部门实行全覆盖监管，发现违法违规行为要依法查处并公开结果。2.依法从严查处未经许可生产民用爆炸物品、利用现场混装炸药作业系统非法生产工业炸药的行为。3.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1.将审批时限由45个工作日压减至10个工作日。2.将无需现场核查的业务办理项“审查“与”决定”环节合并，时限压缩至5工作日。3.将民用爆炸物品安全生产许可证年检制度改为年度报告制度。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1.加强行政执法，依法依规实行全覆盖监管，开展民用爆炸物品行业安全生产专项督查，发现违法违规行为要依法查处并公开结果。2.及时处理投诉举报。</w:t>
            </w:r>
          </w:p>
        </w:tc>
      </w:tr>
      <w:tr>
        <w:trPr>
          <w:cantSplit/>
          <w:trHeight w:val="3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30个工作日压减至10个工作日。2.将无需现场核查的业务办理项“审查“与”决定”环节合并，时限压缩至5工作日。3.将民用爆炸物品销售许可证年检制度改为年度报告制度。4.取消申请许可时“从事配送业务的必须具备押运员、驾驶员以及符合特定的爆炸物品专用运输车辆”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1.加强行政执法，依法依规实行全覆盖监管，发现违法违规销售民用爆炸物品（包括硝酸铵）行为要依法查处并公开结果。2.及时处理投诉举报。</w:t>
            </w:r>
          </w:p>
        </w:tc>
      </w:tr>
      <w:tr>
        <w:trPr>
          <w:cantSplit/>
          <w:trHeight w:val="3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互联网域名根服务器设置及其运行机构和注册管理机构的设立审批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rPr>
          <w:cantSplit/>
          <w:trHeight w:val="38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设立互联网域名注册服务机构审批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rPr>
          <w:cantSplit/>
          <w:trHeight w:val="40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道路机动车辆生产企业许可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公告</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将产品参数变更扩展由审批改为备案，推行企业产品准入自检自证和系族车型管理。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1.开展“双随机、一公开”监管，发现违法违规行为要依法查处并公开结果。2.建立车辆信用信息管理体系，会同有关部门开展联合监管。</w:t>
            </w:r>
          </w:p>
        </w:tc>
      </w:tr>
      <w:tr>
        <w:trPr>
          <w:cantSplit/>
          <w:trHeight w:val="336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1.开展“双随机、一公开”监管，依法查处违法违规经营活动并公开结果。2.加强信用监管，依法依规对失信主体开展失信惩戒。</w:t>
            </w:r>
          </w:p>
        </w:tc>
      </w:tr>
      <w:tr>
        <w:trPr>
          <w:cantSplit/>
          <w:trHeight w:val="37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监控化学品生产特别许可证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1.将“第二、三类监控化学品和第四类监控化学品中含磷、硫、氟的特定有机化学品生产特别许可”由省工信厅初审、工业和信息化部审批，调整为省工信厅直接审批。2.不再要求申请人提供车间平面布置图。</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1.不再要求申请人提供相关人员工作经验证明和无故意犯罪记录证明等材料。2.将审批时限由30个工作日压减至20个工作日。3.制定公布办事指南，推广网上办理。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1.开展“双随机、一公开”监管、重点监管，及时处理投诉举报，依法查处违法违规行为。2.加强信用监管，建立企业信用档案并依法向社会公开信用记录，依法依规对失信主体开展失信惩戒。</w:t>
            </w:r>
          </w:p>
        </w:tc>
      </w:tr>
      <w:tr>
        <w:trPr>
          <w:cantSplit/>
          <w:trHeight w:val="16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爆破作业单位许可证（非营业）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省公安厅；市公安局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不再要求申请者提供爆破作业业绩证明、技术负责人从业经历证明、从业人员资格证明等材料。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1.开展“双随机、一公开”监管，依法查处违法违规行为。2.利用技术手段开展检查，发现不符合资质条件规定的依法处理。</w:t>
            </w:r>
          </w:p>
        </w:tc>
      </w:tr>
      <w:tr>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营业性射击场设立许可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15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1.实行申请、审批全程网上办理。2.不再要求申请人提供技术鉴定文件。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1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26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弩的制造、销售、购置、进口、运输许可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1.实行申请、审批全程网上办理。2.不再要求申请人提供营业执照、无违法犯罪记录证明、批准立项文件。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27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《中华人民共和国计算机信息系统安全保护条例》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1.不再要求申请人提供营业执照、商用密码产品型号证书等材料。2.将审批时限由15个工作日压减至10个工作日。3.实行申请、审批全程网上办理。4.停止收取产品首次检测费用。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每年组织开展网络安全行业产品抽查工作，对产品不合格的企业进行全国通报，并责令其限期整改，对违规生产、销售的企业要依法查处。2.加强对计算机信息系统安全专用产品有关检测机构的监管，依法及时处理投诉举报，发现违法违规行为要依法查处。</w:t>
            </w:r>
          </w:p>
        </w:tc>
      </w:tr>
      <w:tr>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建设经营性公墓审批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《殡葬管理条例》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1.加快殡葬信息化建设，推动实现审批全程网上办理。2.市行政审批部门要将经营性公墓审批结果报省民政厅备案。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殡葬设施规划，通过规划对殡葬设施进行总量控制。2.开展“双随机、一公开”监管，建立完善殡葬服务企业随机抽查事项清单，增强监管效能。3.强化公墓年检制度，对违规建设经营行为完善处罚机制和措施。4.推进跨部门联合监管。</w:t>
            </w:r>
          </w:p>
        </w:tc>
      </w:tr>
      <w:tr>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设立免税场所事项审批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1.网上公布审批程序、办理依据、申请条件、申请材料等信息。2.不再要求申请人提供特许经营费缴纳情况等材料。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1.建立健全部门间监管协调机制，依据职责分工加强联合监管。2.开展定期或不定期检查，发现违法违规行为交由有关部门依法查处。</w:t>
            </w:r>
          </w:p>
        </w:tc>
      </w:tr>
      <w:tr>
        <w:trPr>
          <w:cantSplit/>
          <w:trHeight w:val="17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1.开展“双随机、一公开”监管，并根据会计师事务所受到处罚情况、其他部门移交线索、群众举报等实施重点监管。2.定期对会计师事务所符合执业许可情况开展专项检查。</w:t>
            </w:r>
          </w:p>
        </w:tc>
      </w:tr>
      <w:tr>
        <w:trPr>
          <w:cantSplit/>
          <w:trHeight w:val="56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设立民办普通、高级技工学校审批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rPr>
          <w:cantSplit/>
          <w:trHeight w:val="4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设立民办技师学院审批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企业年金基金管理机构资格认定、延续认定（国家级）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1.每年更新发布存量情况，实时更新基金管理机构及资格变动情况。2.拟新增许可企业时，提前2个月在网上公布受理时间、受理条件、办理标准、本次增加数量等内容。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年金基金管理合同和养老金产品备案管理，依法依规对年金基金管理机构的市场行为进行日常监管。3.加强“互联网+监管”，通过跨部门联合监管等方式进行有效监管。</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《中华人民共和国劳动合同法》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省人力资源社会保障部门；市行政审批局；县（区）人力资源社会保障或行政审批部门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1.加快实现申请、审批全程网上办理。2.不再要求申请人提供营业执照、企业名称预先核准通知书、法定代表人身份证明等材料。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1.开展“双随机、一公开”监管，发现违法违规行为要依法查处。2.加强信用监管，依法向社会公布劳务派遣企业信用状况，依法依规对失信主体开展失信惩戒。</w:t>
            </w:r>
          </w:p>
        </w:tc>
      </w:tr>
      <w:tr>
        <w:trPr>
          <w:cantSplit/>
          <w:trHeight w:val="24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以技能为主的国外职业资格证书及发证机构资格审核和注册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1.审批权限由人力资源社会保障部下放至省人社厅。2.实现申请、审批全程网上办理。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开展“双随机、一公开”监管，对通过投诉举报等渠道反映问题多的机构实施重点监管，发现违法违规行为要依法查处并公开结果。</w:t>
            </w:r>
          </w:p>
        </w:tc>
      </w:tr>
      <w:tr>
        <w:trPr>
          <w:cantSplit/>
          <w:trHeight w:val="1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1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7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1.修改完善城乡规划编制单位资质管理规定。2.实现申请、审批全程网上办理并在网上公布审批程序、受理条件、办理标准。3.将审批时限由20个工作日压减至15个工作日。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1.开展“双随机、一公开”监管，对违法违规行为要依法查处并公开结果。2.对有投诉举报和质量问题的企业实施重点监管。</w:t>
            </w:r>
          </w:p>
        </w:tc>
      </w:tr>
      <w:tr>
        <w:trPr>
          <w:cantSplit/>
          <w:trHeight w:val="5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勘查矿产资源审批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矿产资源勘查许可证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《中华人民共和国矿产资源法》《中华人民共和国矿产资源法实施细则》《矿产资源勘查区块登记管理办法》《探矿权采矿权转让管理办法》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不再要求申请人提供符合国家限制及政策调控申请条件等材料。积极探索采取委托等方式，将省自然资源厅负责的部分探矿权变更、延续、保留、注销登记等事项的审批权限下放至设区的市级自然资源部门。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1.开展“双随机、一公开”监管，对违法违规探矿的要依法查处并公开结果。2.利用有关信息系统实现矿业权人勘查开采信息公示等，加强对探矿权人行为的监管。</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开采矿产资源审批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采矿许可证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《中华人民共和国矿产资源法》《中华人民共和国矿产资源法实施细则》《矿产资源开采登记管理办法》《探矿权采矿权转让管理办法》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1.开展“双随机、一公开”监管，对违法违规采矿的要依法查处并公开结果。2.利用有关信息系统实现矿业权人勘查开采信息公示等，加强对采矿权人行为的监管。</w:t>
            </w:r>
          </w:p>
        </w:tc>
      </w:tr>
      <w:tr>
        <w:trPr>
          <w:cantSplit/>
          <w:trHeight w:val="2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取消现行测绘资质10个专业类别下设的55个子项。将除导航电子地图制作以外的其余9个甲级测绘资质审批权限，由自然资源部下放至省自然资源厅。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民用核材料许可证核准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1.将生态环境部门和其他有关部门对申请材料的审查从串联办理改为并联办理。2.将审批时限由180天压减至150天。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1.出台核材料管制相关办法，明确监管规则，加强监管。2.将民用核材料使用单位全面纳入核安全例行监督检查范围，发现违法违规行为要依法查处并公开结果。</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《中华人民共和国环境保护法》《中华人民共和国大气污染防治法》《中华人民共和国水污染防治法》《中华人民共和国土壤污染防治法》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省生态环境部门；市生态环境局；县（区）生态环境部门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通过建设项目行业特征表实现有关信息系统的衔接，推动环境影响评价与排污许可之间的信息共享，不再要求企业重复填报有关信息。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无证排污行为和未按证排污行为。2.畅通投诉举报渠道，对反映问题多的排污单位实施重点监管。3.加强信用监管，将企业环境信用信息通过有关信息共享平台向各部门各地区共享，依法向社会公开信用信息，并对失信主体开展失信惩戒。</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5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47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为境内民用核设施进行核安全设备设计、制造、安装和无损检验活动的境外单位注册登记审批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民用核安全设备活动境外单位注册登记确认书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1.严格执行相关法律法规规定，查处违法违规企业并向社会公开结果。2.依法及时处理举报、信访问题，对投诉举报和反映质量问题较多的企业实施重点监管。</w:t>
            </w:r>
          </w:p>
        </w:tc>
      </w:tr>
      <w:tr>
        <w:trPr>
          <w:cantSplit/>
          <w:trHeight w:val="3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生产放射性同位素（除医疗自用的短半衰期放射性药物外）许可证核发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将场所等级属于乙级、丙级的生产放射性同位素单位的审批权限由生态环境部下放至省生态环境厅。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1.严格执行有关法律法规和标准，开展“双随机、一公开”监管，发现违法违规问题严格依法处罚并公开结果。2.加强对有关生态环境部门人员的培训，提升监管能力。</w:t>
            </w:r>
          </w:p>
        </w:tc>
      </w:tr>
      <w:tr>
        <w:trPr>
          <w:cantSplit/>
          <w:trHeight w:val="4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销售、使用Ⅰ类放射源（医疗使用Ⅰ类放射源除外）和Ⅰ类射线装置单位的辐射安全许可证核发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不再要求申请人提供生态环境部门批复的环境影响评价文件，改为生态环境部门之间信息共享获取。</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省生态环境厅加强与生态环境部信息数据互联互通，方便获取有关信息。3.加强对有关生态环境部门人员的培训，提升监管能力。</w:t>
            </w:r>
          </w:p>
        </w:tc>
      </w:tr>
      <w:tr>
        <w:trPr>
          <w:cantSplit/>
          <w:trHeight w:val="75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医疗使用Ⅰ类放射源，制备正电子发射计算机断层扫描用放射性药物自用，销售、使用Ⅱ、Ⅲ、Ⅳ、Ⅴ类放射源，生产、销售和使用Ⅱ、Ⅲ类射线装置的单位的辐射安全许可证核发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销售、使用Ⅳ、Ⅴ类放射源，生产、销售和使用Ⅱ、Ⅲ类射线装置单位的许可证核发由市行政审批局承担。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1.严格执行有关法律法规和标准，开展“双随机、一公开”监管，发现违法违规问题要严格依法查处并公开结果。2.加强对有关生态环境部门人员的培训，提升监管能力。</w:t>
            </w:r>
          </w:p>
        </w:tc>
      </w:tr>
      <w:tr>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要求，对持证企业加强监督管理。2.对违法违规企业严格按照有关规定进行处理。3.依法及时处理举报、信访问题，调查处理结果向社会公开，对投诉举报和反映质量问题较多的企业实施重点监管。</w:t>
            </w:r>
          </w:p>
        </w:tc>
      </w:tr>
      <w:tr>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放射性污染监测机构资质认定（国家级权限）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放射性污染监测资质许可证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定期向社会公开放射性污染监测机构存量情况，方便有关企业委托开展业务，接受社会监督。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1.完善放射性监测机构制度管理体系。2.生态环境部门会同有关部门加强对各类放射性监测机构的监督检查。3.推动企业信息公开，加强社会监督。</w:t>
            </w:r>
          </w:p>
        </w:tc>
      </w:tr>
      <w:tr>
        <w:trPr>
          <w:cantSplit/>
          <w:trHeight w:val="26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设立专门从事放射性固体废物贮存、处置单位许可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放射性固体废物贮存、处置许可证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1.实现申请、审批全程网上办理。2.将放射性固体废物贮存、处置许可与设施的安全许可审查合并进行，不再要求申请人重复提交材料。3.将审批时限由20个工作日压减至18个工作日。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1.严格按照相关的法律法规和标准开展工作，强化日常监督管理。2.开展“双随机、一公开”监管，对存在违规违法行为的企业依法调查处理并公开结果。3.及时处理举报、投诉或信访案件。</w:t>
            </w:r>
          </w:p>
        </w:tc>
      </w:tr>
      <w:tr>
        <w:trPr>
          <w:cantSplit/>
          <w:trHeight w:val="48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危险废物综合经营许可证核发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《中华人民共和国固体废物污染环境防治法》《危险废物经营许可证管理办法》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省生态环境部门；市行政审批局；县（区）生态环境或行政审批部门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以下审批材料：贮存、利用处置危险废物的设施、设备经卫生、消防等部门验收合格的证明文件复印件，环境保护设施竣工验收意见复印件，消防部门证明材料，公安机关证明材料，经营安全生产评估报告及备案证明材料，从事危险货物运输的道路运输经营许可证、危险废物运输车辆运营证、危险货物运输驾驶员证和押运员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畅通投诉举报渠道，依法及时处理有关投诉举报，并公开结果。3.要求危险废物经营单位定期报告有关经营活动环境污染防治情况，将违规经营情况纳入企业信用记录。</w:t>
            </w:r>
          </w:p>
        </w:tc>
      </w:tr>
      <w:tr>
        <w:trPr>
          <w:cantSplit/>
          <w:trHeight w:val="26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废弃电器电子产品处理企业资格审批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《废弃电器电子产品回收处理管理条例》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不再要求申请人提供所在地生态环境部门出具的经营期间守法证明和监督性监测报告及建设项目工程质量、消防和安全验收的证明材料。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1.开展“双随机、一公开”监管，合理确定抽查比例。2.对失信主体强化信用约束，依法查处违规经营等行为并记入信用记录，依法向社会公开。3.发挥行业协会自律作用。</w:t>
            </w:r>
          </w:p>
        </w:tc>
      </w:tr>
      <w:tr>
        <w:trPr>
          <w:cantSplit/>
          <w:trHeight w:val="37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危险化学品进出口环境管理登记证核发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有毒化学品进（出）口环境管理放行通知单</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会同有关部门进一步缩减《中国严格限制的有毒化学品名录》范围，使企业进出口更多种类的危险化学品时不再需要办理进出口环境管理登记证。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1.开展“双随机、一公开”监管，合理确定抽查比例。2.对失信主体实施重点监管，依法查处违规经营等行为并记入信用记录，依法向社会公开。3.依法及时处理投诉举报。</w:t>
            </w:r>
          </w:p>
        </w:tc>
      </w:tr>
      <w:tr>
        <w:trPr>
          <w:cantSplit/>
          <w:trHeight w:val="36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调整新化学物质申报登记所需的毒理学、生态毒理学最低数据要求，减轻企业负担。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1.开展“双随机、一公开”监管。2.对失信主体强化信用约束，实施重点监管，依法查处违规经营行为并记入信用记录。3.加强行业自律和社会监督。</w:t>
            </w:r>
          </w:p>
        </w:tc>
      </w:tr>
      <w:tr>
        <w:trPr>
          <w:cantSplit/>
          <w:trHeight w:val="7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房地产开发企业一级资质核定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55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房地产开发企业二级资质核定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省住房城乡建设部门；市行政审批局；县（区）住房城乡建设或行政审批部门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0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1.实行电子化申报和审批。2.加快推动信息共享，不再要求申请人提供人员身份证明、社保证明、资质资格证书等材料。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1.开展“双随机、一公开”监管，依法查处违法违规行为并公开结果。2.加强信用监管，依法向社会公布建设工程质量检测机构信用状况，依法依规对失信主体开展失信惩戒。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《城镇燃气管理条例》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省燃气管理部门；市行政审批局；县（区）燃气管理或行政审批部门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1.开展“双随机、一公开”监管，通过信息公示、抽查、抽验等方式，综合运用提醒、约谈、告诫等手段，依法查处违法违规行为并公开结果。2.加强信用监管，依法依规对失信主体开展失信惩戒。</w:t>
            </w:r>
          </w:p>
        </w:tc>
      </w:tr>
      <w:tr>
        <w:trPr>
          <w:cantSplit/>
          <w:trHeight w:val="23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建设工程勘察企业资质认定（综合资质）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rPr>
          <w:cantSplit/>
          <w:trHeight w:val="3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建设工程设计企业资质认定（综合资质，部分行业甲级及部分专业甲级）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p>
            <w:pPr>
              <w:pStyle w:val="2"/>
              <w:spacing w:line="320" w:lineRule="exact"/>
              <w:rPr>
                <w:rFonts w:hint="eastAsia" w:ascii="仿宋" w:hAnsi="仿宋" w:eastAsia="仿宋" w:cs="仿宋"/>
                <w:color w:val="auto"/>
                <w:sz w:val="18"/>
                <w:szCs w:val="18"/>
              </w:rPr>
            </w:pP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39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建设工程设计企业资质认定（部分行业甲级、乙级，部分专业甲级、乙级，事务所）</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8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施工企业资质认定（综合资质，部分施工总承包甲级、乙级，部分专业承包）</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工程监理企业资质认定（综合资质，部分专业甲级）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6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公路工程专业甲级监理资质认定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4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经营国内船舶管理业务审批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国内船舶管理业务经营许可证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船舶管理企业的年度书面检查，发现不具备经营许可条件的要依法及时处理。4.针对日常动态监管发现的普遍性问题和突出风险组织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外商投资企业经营沿海、江河、湖泊及其他通航水域水路运输审批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省水路运输部门；市交通局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1.实现办理审批“最多跑一次”。2.不再要求申请人提供营业执照，在线获取营业执照等材料。3.将审批时限由20个工作日压减至10个工作日。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水路运输企业的年度书面检查，发现不具备经营许可条件的要依法及时处理。4.针对日常动态监管发现的普遍性问题和突出风险组织开展专项检查。</w:t>
            </w:r>
          </w:p>
        </w:tc>
      </w:tr>
      <w:tr>
        <w:trPr>
          <w:cantSplit/>
          <w:trHeight w:val="2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公路工程专业公路机电工程专项监理资质认定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公路工程专业特殊独立大桥专项监理资质认定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公路工程专业特殊独立隧道专项监理资质认定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省际旅客、危险品货物水路运输许可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实现申请人办理审批“最多跑一次”。3.除需按存档要求由企业提交的证书外，不再要求提供纸质材料。4.不再要求申请人提供营业执照等材料。5.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省内水路运输企业的年度书面检查，发现不具备经营许可条件的要依法及时处理。4.针对日常动态监管发现的普遍性问题和突出风险组织开展专项检查。</w:t>
            </w:r>
          </w:p>
        </w:tc>
      </w:tr>
      <w:tr>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设立引航机构审批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1.在网上公布审批条件和办理流程。2.将审批时限由20个工作日压减至15个工作日。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加强信用监管，依法依规建立健全诚信管理制度，依法及时向社会公布引航机构信用状况，对不严格执行引航安全标准规范的引航活动要依法及时处理。</w:t>
            </w:r>
          </w:p>
        </w:tc>
      </w:tr>
      <w:tr>
        <w:trPr>
          <w:cantSplit/>
          <w:trHeight w:val="199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设立验船机构审批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《中华人民共和国船舶和海上设施检验条例》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1.开展“双随机、一公开”监管，发现违法违规行为要依法查处并公开结果。2.加强信用监管，依法向社会公布验船机构信用状况，依法依规对失信主体开展失信惩戒。</w:t>
            </w:r>
          </w:p>
        </w:tc>
      </w:tr>
      <w:tr>
        <w:trPr>
          <w:cantSplit/>
          <w:trHeight w:val="27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国际班轮运输经营资格登记证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1.开展“双随机、一公开”监管，发现违法违规行为要依法查处并公开结果。2.依法向社会公开信用记录，对严重失信主体开展失信惩戒。3.发挥行业协会自律作用。</w:t>
            </w:r>
          </w:p>
        </w:tc>
      </w:tr>
      <w:tr>
        <w:trPr>
          <w:cantSplit/>
          <w:trHeight w:val="3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国际船舶运输经营许可证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放宽对自有船舶的准入条件，对已取得经营资格的航运企业，允许将出售给依法取得国家有关部门批准的融资租赁公司后、再以融资租赁方式回租的船舶认定为自有船舶。4.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1.开展“双随机、一公开”监管，发现违法违规行为要依法查处并公开结果。2.依法依规对严重失信主体开展失信惩戒。3.发挥行业协会自律作用。</w:t>
            </w:r>
          </w:p>
        </w:tc>
      </w:tr>
      <w:tr>
        <w:trPr>
          <w:cantSplit/>
          <w:trHeight w:val="35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台湾海峡两岸间水路运输许可证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公布审批程序、受理条件和办理标准，公开办理进度。2.不再要求大陆申请人提供营业执照等材料。3.放宽对自有船舶的准入条件，对已取得经营资格的航运企业，允许将出售给符合有关规定的融资租赁公司后、再以融资租赁方式回租的船舶认定为自有船舶。4.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1.加强港口、航运、海事部门之间的协作，实施联合监管。2.通过抽查等方式加强对地方港口、航运部门监管工作的监督检查，及时纠正问题。3.加强信用监管，依法依规对严重失信主体开展失信惩戒。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培训机构从事船员、引航员培训业务审批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船员培训许可证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取消现场核验环节，在审批过程中不再到培训机构进行现场核验。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w:t>
            </w:r>
          </w:p>
        </w:tc>
      </w:tr>
      <w:tr>
        <w:trPr>
          <w:cantSplit/>
          <w:trHeight w:val="31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公路养护作业单位资质审批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统一资质许可标准，打破公路养护作业单位资质地域限制，实现公路养护作业单位资质全国通用。2.实现申请、审批全程网上办理并在网上公布审批条件、办理程序和审查要点。3.不再要求申请人提供营业执照等材料，在线获取营业执照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1.开展“双随机、一公开”监管，发现违法违规行为要依法查处并公开结果。2.通过“互联网+监管”，加强对企业投标及履约行为的监管。3.加强信用监管，拓展信用评价结果应用范围，依法依规实行失信惩戒。</w:t>
            </w:r>
          </w:p>
        </w:tc>
      </w:tr>
      <w:tr>
        <w:trPr>
          <w:cantSplit/>
          <w:trHeight w:val="234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246</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市行政审批局：县（区）交通运输或行政审批部门</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不再要求申请人提供企业章程，现有营运客车行驶证、车辆技术等级评定结论、客车类型等级评定证明，已聘用或者拟聘用驾驶人员的3年内无重大以上交通责任事故证明等材料。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1.强化部门间信息共享。2.加强社会监督，向社会公开道路旅客运输企业的运输服务质量承诺，依法及时处理投诉举报。3.加强对道路旅客运输活动的监督检查，发现违法违规行为要依法查处。</w:t>
            </w:r>
          </w:p>
        </w:tc>
      </w:tr>
      <w:tr>
        <w:trPr>
          <w:cantSplit/>
          <w:trHeight w:val="1715"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247</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危险货物运输经营许可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1.强化部门间信息共享，实施跨部门联合监管，强化危险货物道路运输全过程安全管理。2.发挥行业协会自律作用。</w:t>
            </w:r>
          </w:p>
        </w:tc>
      </w:tr>
      <w:tr>
        <w:trPr>
          <w:cantSplit/>
          <w:trHeight w:val="31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放射性物品道路运输经营许可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1.强化部门间信息共享，实施跨部门联合监管，强化放射性物品道路运输全过程安全管理。2.发挥行业协会自律作用。</w:t>
            </w:r>
          </w:p>
        </w:tc>
      </w:tr>
      <w:tr>
        <w:trPr>
          <w:cantSplit/>
          <w:trHeight w:val="2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国际道路旅客运输许可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1.加强部门间信息共享和联合监管，通过信息化手段对从业人员、运输车辆进行监督管理。2.依托北斗卫星导航系统车载终端，加强对有关车辆的动态监控。3.依法及时处理投诉举报。</w:t>
            </w:r>
          </w:p>
        </w:tc>
      </w:tr>
      <w:tr>
        <w:trPr>
          <w:cantSplit/>
          <w:trHeight w:val="7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道路运输经营许可证、网络预约出租汽车经营许可证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rPr>
          <w:cantSplit/>
          <w:trHeight w:val="7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出租汽车车辆运营证核发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道路运输证、网络预约出租汽车运输证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对开展出租汽车技术等级评定的地区，不再要求申请人提供技术等级评定相关材料，直接向检测机构获取车辆技术等级评定信息。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从事海员外派业务审批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海洋船舶船员服务机构资质证书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《对外劳务合作管理条例》《中华人民共和国船员条例》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交通运输部直属海事局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1.开展“双随机、一公开”监管，发现违法违规行为要依法查处并公开结果。2.加强信用监管，依法向社会公布有关企业信用记录，依法依规对失信主体开展失信惩戒。3.依法及时处理投诉举报。</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6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8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质量检测单位（甲级）信用状况，依法依规建立行业黑名单制度，对失信主体加大抽查比例并开展失信惩戒。</w:t>
            </w:r>
          </w:p>
        </w:tc>
      </w:tr>
      <w:tr>
        <w:trPr>
          <w:cantSplit/>
          <w:trHeight w:val="45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河道（含长江）采砂许可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河道采砂许可证、长江河道采砂许可证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《中华人民共和国水法》《中华人民共和国河道管理条例》《长江河道采砂管理条例》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长江水利委员会；有关流域管理机构；省水利部门；市</w:t>
            </w:r>
            <w:r>
              <w:rPr>
                <w:rFonts w:hint="eastAsia" w:ascii="仿宋" w:hAnsi="仿宋" w:eastAsia="仿宋" w:cs="仿宋"/>
                <w:color w:val="auto"/>
                <w:kern w:val="0"/>
                <w:sz w:val="18"/>
                <w:szCs w:val="18"/>
                <w:lang w:val="en-US" w:eastAsia="zh-CN"/>
              </w:rPr>
              <w:t>行政审批局</w:t>
            </w:r>
            <w:r>
              <w:rPr>
                <w:rFonts w:hint="eastAsia" w:ascii="仿宋" w:hAnsi="仿宋" w:eastAsia="仿宋" w:cs="仿宋"/>
                <w:color w:val="auto"/>
                <w:kern w:val="0"/>
                <w:sz w:val="18"/>
                <w:szCs w:val="18"/>
              </w:rPr>
              <w:t>；县（区）水利或行政审批部门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河道采砂规划编制审批，实行年度采量控制，及时向社会公布可采区、可采期、可采量。2.对公益性采砂减少审批环节，对符合相关工程建设项目程序的，不再同时开展河道（含长江）采砂行政许可。3.采取灵活的许可实施方式，各地可结合实际采取招标等公平竞争的方式实施许可。4.鼓励和支持河砂统一开采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河道采砂管理河长、水行政主管部门、现场监管和行政执法四方责任。2.开展“四不两直”暗访，加强对采砂情况的监督检查。3.长江干流实行砂石采运管理单制度，加强采砂现场及运输环节监管。4.运用卫星遥感、卫星导航定位、视频监控、无人机等技术手段进行动态监控。5.依法及时处理投诉举报。</w:t>
            </w:r>
          </w:p>
        </w:tc>
      </w:tr>
      <w:tr>
        <w:trPr>
          <w:cantSplit/>
          <w:trHeight w:val="73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《中华人民共和国水法》《取水许可和水资源费征收管理条例》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流域管理机</w:t>
            </w:r>
          </w:p>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构；省水利部门；市行政审批局；县（区）水利或行政审批部门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各类开发区、工业园区、新区和其他有条件的区域，推行水资源论证区域评估，对已实施水资源论证区域评估范围内的建设项目推行取水许可告知承诺制。2.按国务院统一部署，推广取水许可电子许可证，实现申请、审批全程网上办理。3.简化优化建设项目水资源论证管理要求，实行报告表、报告书分类管理，对取水量较小、用水工艺简单且取退水影响小的项目推行报告表管理。4.简化技术审查环节，细化明确报告书技术审查标准，报告书技术审查时限由30个工作日压减至20个工作日（不含报告书修改时间）。对报告表实行备案承诺制，不再组织技术审查，由水利部门直接审核。</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取水单位和个人取用水、有关技术单位编制报告中存在违法行为的，要依法查处并向社会公开。2.加强信用监管，将取水单位和个人的相关违法信息纳入社会征信体系，依法依规对失信主体开展失信惩戒。</w:t>
            </w:r>
          </w:p>
        </w:tc>
      </w:tr>
      <w:tr>
        <w:trPr>
          <w:cantSplit/>
          <w:trHeight w:val="18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生鲜乳收购站许可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1.开展“双随机、一公开”监管，发现违法违规行为要依法查处并公开结果。2.加强对生鲜乳收购站的监管，将其全部纳入监管监测信息系统，实时掌握收购、运营情况。</w:t>
            </w:r>
          </w:p>
        </w:tc>
      </w:tr>
      <w:tr>
        <w:trPr>
          <w:cantSplit/>
          <w:trHeight w:val="22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3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3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向社会公布进出口农作物种子企业信用状况，依法依规对失信主体开展失信惩戒。</w:t>
            </w:r>
          </w:p>
        </w:tc>
      </w:tr>
      <w:tr>
        <w:trPr>
          <w:cantSplit/>
          <w:trHeight w:val="21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农作物种子生产经营（外商投资企业）许可证核发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外商投资农作物种子企业信用状况，依法依规对失信主体开展失信惩戒。</w:t>
            </w:r>
          </w:p>
        </w:tc>
      </w:tr>
      <w:tr>
        <w:trPr>
          <w:cantSplit/>
          <w:trHeight w:val="19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农作物种子生产经营（进出口）许可证核发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进出口农作物种子企业信用状况，依法依规对失信主体开展失信惩戒。</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1.不再要求申请人提供机构设置、人员身份等证明材料。2.将人员数量要求由不少于5人压减为满足要求即可，将仪器设备种类由不少于6类压减为满足要求即可。3.将能力验证时限由90天压减为最长不超过45天。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1.不再要求申请人提供机构设置、人员身份等证明材料。2.将人员数量要求由不少于5人压减为满足要求即可，将仪器设备种类由不少于6类压减为满足要求即可。3.将能力验证时限由90天压减至最长不超过45天。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rPr>
          <w:cantSplit/>
          <w:trHeight w:val="16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1.加强行业监测，将风险隐患较多的企业列入重点监管对象，确保不发生重大风险。2.依法及时处理投诉举报，并将调查处理结果向社会公开。</w:t>
            </w:r>
          </w:p>
        </w:tc>
      </w:tr>
      <w:tr>
        <w:trPr>
          <w:cantSplit/>
          <w:trHeight w:val="19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1.开展“双随机、一公开”监管，发现违法违规行为要依法查处。2.对风险等级高、投诉举报多的企业实施重点监管。3.依法及时处理举报、投诉问题，处理结果依法向社会公开并记入企业信用记录。</w:t>
            </w:r>
          </w:p>
        </w:tc>
      </w:tr>
      <w:tr>
        <w:trPr>
          <w:cantSplit/>
          <w:trHeight w:val="1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不再要求申请人提供加工原料的《农业转基因生物安全证书》复印件。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1.开展“双随机、一公开”监管，发现违法违规行为要依法查处并公开结果。2.畅通投诉举报渠道，及时调查处理并将处理结果向社会公开。3.加强行业自律。</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highlight w:val="none"/>
              </w:rPr>
              <w:t>271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21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20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4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农产品质量安全检测机构考核合格证书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《中华人民共和国农产品质量安全法》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授权证明等材料，上级或者有关部门批准机构设置的证明文件，已通过计量认证的认证证书及附表，技术人员资格证明材料（包括学历证书、省级以上农业农村部门考核证明、中级以上技术职称证书）、技术负责人和质量负责人技术职称证书等证明材料。2.将审批时限由20个工作日（现场评审不超过2个月）压减至15个工作日（现场评审不超过2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2.对精简的材料及其证明事项，在现场评审或监督检查中予以重点核查，发现虚假或不符合条件的机构要依法处理。3.加强监测，针对发现的普遍问题和突出风险开展专项检查。</w:t>
            </w:r>
          </w:p>
        </w:tc>
      </w:tr>
      <w:tr>
        <w:trPr>
          <w:cantSplit/>
          <w:trHeight w:val="25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向社会公布农药登记试验单位信用状况，依法依规对失信主体开展失信惩戒。</w:t>
            </w:r>
          </w:p>
        </w:tc>
      </w:tr>
      <w:tr>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农药生产企业信用状况，依法依规对失信主体开展失信惩戒。</w:t>
            </w:r>
          </w:p>
        </w:tc>
      </w:tr>
      <w:tr>
        <w:trPr>
          <w:cantSplit/>
          <w:trHeight w:val="4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在首次登记时，不再要求申请人提供产品安全数据单，将申请人资质、申请人资料真实性声明合并到农药登记申请表。3.在延续登记时，不再要求申请人提供加盖公章的农药登记证复印件，产品年生产量、销售量、销售额等情况。4.在变更登记时，不再要求申请人提供加盖公章的农药登记证复印件和产品安全数据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1.开展“双随机、一公开”监管，发现违法违规行为要依法查处。2.及时处理有关投诉举报，调查处理结果向社会公开。3.加强信用监管，依法向社会公布有关单位信用状况，依法依规对失信主体开展失信惩戒。</w:t>
            </w:r>
          </w:p>
        </w:tc>
      </w:tr>
      <w:tr>
        <w:trPr>
          <w:cantSplit/>
          <w:trHeight w:val="7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肥料登记（除大量元素水溶肥料、中量元素水溶肥料、微量元素水溶肥料、农用氯化钾镁、农用硫酸钾镁、复混肥料、掺混肥料外）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《中华人民共和国农业法》《中华人民共和国农产品质量安全法》《中华人民共和国土壤污染防治法》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1.在肥料首次登记和变更登记时，不再要求申请人提供肥料产品登记申请单。2.在续展登记时，不再要求申请人提供肥料产品登记申请单和加盖申请人公章的肥料登记证复印件。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从事饲料、饲料添加剂生产的企业审批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饲料生产许可证、饲料添加剂生产许可证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《饲料和饲料添加剂管理条例》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不再要求申请人提供人员资质证明、营业执照等材料。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科学确定监督抽查比例，确保不发生系统性风险。2.针对行业突出问题和重大风险点，开展饲料质量安全风险预警监测，及时发现隐患并处置。3.强化社会监督，依法及时处理投诉举报。</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生猪定点屠宰厂（场）设置审查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《生猪屠宰管理条例》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不再要求申请人提供动物防疫条件合格证和符合环境保护要求的污染防治设施清单及相关证明材料。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的风险程度、信用水平，科学确定抽查比例。2.强化社会监督，依法及时处理投诉举报。3.加强行业监测，针对发现的普遍性问题和突出风险开展专项行动，确保不发生系统性、区域性风险。4.强化政府内部信息共享和核查。</w:t>
            </w:r>
          </w:p>
        </w:tc>
      </w:tr>
      <w:tr>
        <w:trPr>
          <w:cantSplit/>
          <w:trHeight w:val="2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采集、出售、收购国家二级保护野生植物（农业类）审批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国家重点保护野生植物采集许可证，出售、收购国家二级保护野生植物许可文件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对风险等级较高、信用等级较低的企业实施重点监管。4.依法及时处理投诉举报。</w:t>
            </w:r>
          </w:p>
        </w:tc>
      </w:tr>
      <w:tr>
        <w:trPr>
          <w:cantSplit/>
          <w:trHeight w:val="366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人工繁育国家重点保护水生野生动物审批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中华人民共和国水生野生动物人工繁育许可证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rPr>
          <w:cantSplit/>
          <w:trHeight w:val="37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出售、购买、利用国家重点保护水生野生动物及其制品审批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中华人民共和国水生野生动物经营利用许可证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1.实现申请、审批网上办理。2.将审批时限由40个工作日压减至35个工作日。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结合兽药质量监管抽检和风险监测计划，适当增加抽检数量和频次，发现违法违规行为要依法查处并及时公布结果。2.强化社会监督，依法及时处理投诉举报，调查处理结果向社会公开。</w:t>
            </w:r>
          </w:p>
        </w:tc>
      </w:tr>
      <w:tr>
        <w:trPr>
          <w:cantSplit/>
          <w:trHeight w:val="1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1.实现申请、审批网上办理，提高服务便民化水平。2.将审批时限由30个工作日压减至25个工作日。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1.开展“双随机、一公开”监管，对风险等级高、投诉举报多的企业增加抽检数量和频次，实施重点监管。2.强化社会监督，依法及时处理举报、投诉问题，调查处理结果向社会公开。</w:t>
            </w:r>
          </w:p>
        </w:tc>
      </w:tr>
      <w:tr>
        <w:trPr>
          <w:cantSplit/>
          <w:trHeight w:val="18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1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2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渔业捕捞许可证核发（涉外渔业）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渔业捕捞许可证（涉外渔业）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rPr>
          <w:cantSplit/>
          <w:trHeight w:val="27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远洋渔业项目审批通知</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不再要求申请人提供营业执照、渔业船舶检验证书、渔业船舶登记证等材料，通过部门间信息共享获取相关信息。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远洋渔船的生产情况报告、标准化捕捞日志、渔船船位监测、派遣国家观察员、签发合法捕捞证明等纳入监管内容，实现远洋渔船全过程动态监管。2.畅通投诉举报渠道，对涉嫌违法违规的远洋渔业企业和渔船组织开展调查，发现违法违规行为要依法查处。</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县人民政府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援外项目实施企业资格认定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对纳税信用等级为A级的申请企业，不再要求提供税务部门出具的完税证明。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1.建立援外项目实施企业信用记录，依法依规对失信主体开展失信惩戒。2.开展重点审计，对重点关注企业、重点项目实施企业进行审计。</w:t>
            </w:r>
          </w:p>
        </w:tc>
      </w:tr>
      <w:tr>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《中华人民共和国对外贸易法》《对外劳务合作管理条例》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1.开展“双随机、一公开”监管，发现违法违规行为要依法查处并公开结果。2.支持行业协会发挥自律作用。</w:t>
            </w:r>
          </w:p>
        </w:tc>
      </w:tr>
      <w:tr>
        <w:trPr>
          <w:cantSplit/>
          <w:trHeight w:val="74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取消申请企业提交成品油供应渠道法律文件相关要求。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严格落实行业监管职责。要求有关企业建立购销和出入库台账制度。开展“双随机、一公开”监管、信用监管，发现违法违规行为要依法处理或者提请有关部门予以查处。2.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部门要将新登记经营范围涉及成品油零售的企业信息推送至有关部门。商务部门要将改革前取得许可的成品油零售企业信息推送至有关部门。</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部门要将发现的超经营范围经营或者无照经营信息推送至有关部门。有关部门要充分运用共享信息，加强监管执法。</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进出口国营贸易经营资格认定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商务部（部分品种需会同国务院有关部门）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推动压减申请材料，优化审批流程。</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及时公布检查情况，发现问题向企业提出整改要求并跟踪整改结果，发现违法行为依法实施行政处罚，将查处结果纳入企业信用记录。2.加强信用监管，依法依规对失信主体开展失信惩戒。</w:t>
            </w:r>
          </w:p>
        </w:tc>
      </w:tr>
      <w:tr>
        <w:trPr>
          <w:cantSplit/>
          <w:trHeight w:val="1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供港澳活畜禽经营权审批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1.审批时不再征求海关总署和中国食品土畜进出口商会意见。2.不再要求申请人提供海关总署供港澳活畜禽备案养殖场资格证书。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1.推进部门间信息共享和协同监管体系建设。2.加强信用监管，将供港澳活畜禽企业经营情况记入信用记录，依法依规实施失信惩戒。</w:t>
            </w:r>
          </w:p>
        </w:tc>
      </w:tr>
      <w:tr>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报废机动车回收（拆解）企业资质认定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资质认定书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不再将注册资本、场地面积、企业从业人员人数等作为报废机动车回收（拆解）企业资质认定条件。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1.加强部门间信息共享和协同监管。2.市县商务部门会同相关部门开展“双随机、一公开”监管，对投诉举报多的单位实施重点监管。3.发挥行业协会自律作用。</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直销企业及其分支机构设立和变更审批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1.制定并公开办事指南，在网上公开审批依据、申请条件、申请材料、办理流程和办理结果。2.推进“互联网+政务服务”，推动部门间信息共享应用。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1.探索建立以信用监管为基础的行业监管体制。2.配合有关部门做好对严重违法违规企业的查处。</w:t>
            </w:r>
          </w:p>
        </w:tc>
      </w:tr>
      <w:tr>
        <w:trPr>
          <w:cantSplit/>
          <w:trHeight w:val="23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1.取消总量限制和布局要求。2.取消对互联网上网服务营业场所的计算机数量限制。3.不再要求申请人提供资金信用证明等材料。4.将审批时限由20个工作日压减至13个工作日。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1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歌舞娱乐场所设立审批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经营性互联网文化单位设立审批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1.实现申请、审批全程网上办理。2.将审批时限由20个工作日压减至13个工作日。3.网上公布审批程序、受理条件、办理标准，公开办理进度。</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设立社会艺术水平考级机构审批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社会艺术水平考级资格证书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1.不再要求申请人提供营业执照、收费项目和标准等材料。2.将专家论证环节由3个月压减至1个月。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艺术水平考级行业的监测，针对发现的普遍性问题和突出风险开展专项检查。3.加强信用监管，依法向社会公布艺术水平考级机构信用状况。</w:t>
            </w:r>
          </w:p>
        </w:tc>
      </w:tr>
      <w:tr>
        <w:trPr>
          <w:cantSplit/>
          <w:trHeight w:val="21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49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1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9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港、澳服务提供者在内地设立内地方控股合资演出团体审批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《营业性演出管理条例》《内地与香港关于建立更紧密经贸关系的安排》《内地与澳门关于建立更紧密经贸关系的安排》</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外商投资旅行社业务许可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rPr>
          <w:cantSplit/>
          <w:trHeight w:val="18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旅行社经营出国旅游业务审批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rPr>
          <w:cantSplit/>
          <w:trHeight w:val="17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旅行社经营赴港澳旅游业务审批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1.开展“双随机、一公开”监管，发现未经许可经营旅行社业务，出租、出借、转让业务经营许可证，未经许可经营出境旅游等违法违规行为要依法查处。2.加强信用监管，依法依规对失信主体开展失信惩戒。</w:t>
            </w:r>
          </w:p>
        </w:tc>
      </w:tr>
      <w:tr>
        <w:trPr>
          <w:cantSplit/>
          <w:trHeight w:val="17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旅行社经营边境游资格审批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边境旅游业务等违法违规行为要依法查处。2.加强信用监管，依法依规对失信主体开展失信惩戒。</w:t>
            </w:r>
          </w:p>
        </w:tc>
      </w:tr>
      <w:tr>
        <w:trPr>
          <w:cantSplit/>
          <w:trHeight w:val="19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饮用水供水单位卫生许可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不再要求申请人提供从业人员健康体检合格证明。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1.开展“双随机、一公开”监管，发现违法违规行为要依法查处。2.强化部门协同监管，卫生健康部门向供水主管部门通报饮用水供水单位监督检查情况。3.畅通投诉举报渠道，依法及时处理投诉举报。</w:t>
            </w:r>
          </w:p>
        </w:tc>
      </w:tr>
      <w:tr>
        <w:trPr>
          <w:cantSplit/>
          <w:trHeight w:val="46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个人剂量监测、放射防护器材和含放射性产品检测、医疗机构放射性危害评价等技术服务机构认定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不再要求申请人提供单位简介、质量管理手册和程序文件目录等材料。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1.开展“双随机、一公开”监管，发现违法违规行为的要依法查处并公开结果。2.依法及时处理投诉举报。</w:t>
            </w:r>
          </w:p>
        </w:tc>
      </w:tr>
      <w:tr>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设置戒毒医疗机构或者医疗机构从事戒毒治疗业务许可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医疗机构执业许可证（副本备注“戒毒医疗服务”）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《中华人民共和国禁毒法》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1.对医疗机构开展定期校验，对医疗机构的戒毒治疗活动加强监督，发现问题要及时依法处理。2.加强对戒毒诊疗新技术、新项目的临床管理。</w:t>
            </w:r>
          </w:p>
        </w:tc>
      </w:tr>
      <w:tr>
        <w:trPr>
          <w:cantSplit/>
          <w:trHeight w:val="29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人类辅助生殖技术许可的医疗机构名单，以及本省（区、市）人类辅助生殖技术应用规划落实情况，并在接到新的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辅助生殖技术服务机构相关信息。2.建立健全质量控制体系，加强质量安全管理。3.开展“双随机、一公开”监管，发现违法违规行为要依法查处并公开结果。4.加强行业自律和社会监督。5.依法及时处理投诉举报。</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母婴保健专项技术服务许可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母婴保健技术服务执业许可证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《中华人民共和国母婴保健法》《中华人民共和国母婴保健法实施办法》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w:t>
            </w:r>
            <w:r>
              <w:rPr>
                <w:rFonts w:hint="eastAsia" w:ascii="仿宋" w:hAnsi="仿宋" w:eastAsia="仿宋" w:cs="仿宋"/>
                <w:color w:val="auto"/>
                <w:kern w:val="0"/>
                <w:sz w:val="18"/>
                <w:szCs w:val="18"/>
                <w:lang w:eastAsia="zh-CN"/>
              </w:rPr>
              <w:t>行政审批局</w:t>
            </w: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将开展婚前医学检查、产前移植肾破裂母婴保健专项技术服务机构审批权限下放至县级行政审批部门。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母婴保健专项技术质量控制。2.开展“双随机、一公开”监管，发现违法违规行为要依法查处并公开结果。3.加强产前诊断机构对产前筛查机构的人员培训、技术指导和质量控制。4.加强信用监管，依法向社会公布母婴保健专项技术服务机构信用状况。5.依法及时处理投诉举报。6.加强母婴保健专项技术服务行业自律。</w:t>
            </w:r>
          </w:p>
        </w:tc>
      </w:tr>
      <w:tr>
        <w:trPr>
          <w:cantSplit/>
          <w:trHeight w:val="20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医疗机构人体器官移植执业资格认定审批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医疗机构执业许可证（人体器官移植诊疗科目登记）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《人体器官移植条例》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1.实现网上提交申请材料。2.将专家评审时限由90天压减至60天。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省卫健委审批行为接受国家卫生健康委监管。2.健全以信息化监管为主、随机飞行检查为辅的监管机制，针对薄弱领域和存在的问题进行重点监管。3.会同有关部门完善防范打击组织出卖人体器官违法犯罪数据资源共享机制和联动机制。</w:t>
            </w:r>
          </w:p>
        </w:tc>
      </w:tr>
      <w:tr>
        <w:trPr>
          <w:cantSplit/>
          <w:trHeight w:val="7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医疗机构（三级医院、三级妇幼保健院、急救中心、急救站、临床检验中心、中外合资合作医疗机构、港澳台独资医疗机构）设置审批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加快推广电子化审批。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28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320" w:lineRule="exact"/>
              <w:jc w:val="lef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医疗机构（不含诊所）执业登记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1.取消医疗机构验资证明。2.实现医疗机构电子化注册登记。</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社会办医疗机构甲类大型医用设备配置许可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甲类大型医用设备配置许可证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1.实现申请、审批全程网上办理并在网上公布审批程序、受理条件、评审标准，公开办理进度。2.不再要求申请人提供医疗机构执业许可证副本复印件。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1.加强医疗机构执业活动监管，发现违法违规行为要依法查处并公开结果。2.加强信用监管，向社会公布配置甲类大型医用设备医疗机构的信用状况。3.依法及时处理投诉举报。4.加强行业自律。</w:t>
            </w:r>
          </w:p>
        </w:tc>
      </w:tr>
      <w:tr>
        <w:trPr>
          <w:cantSplit/>
          <w:trHeight w:val="22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1.将现有甲级、乙级、丙级资质整合为一级资质，整合后由省卫健委负责审批，执业地域范围扩展至全国。2.取消设区的市级卫生健康部门初审环节。3.取消对注册资金和固定资产的要求。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血站（含脐带血造血干细胞库）设立及执业审批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脐带血造血干细胞库设置批准书、血站执业许可证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《中华人民共和国献血法》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rPr>
          <w:cantSplit/>
          <w:trHeight w:val="2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单采血浆站设置审批及许可证核发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《血液制品管理条例》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rPr>
          <w:cantSplit/>
          <w:trHeight w:val="2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医疗机构设置人类精子库审批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人类精子库批准证书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国家卫生健康委指导省卫健委每半年1次向社会公布已取得设置人类精子库许可的医疗机构名单，以及本省（区、市）人类精子库应用规划落实情况，并在接到新的设置申请后1个月内向社会公开申请机构信息。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精子库相关信息。2.建立健全质量控制体系，加强质量安全管理。3.开展“双随机、一公开”监管，发现违法违规行为要依法查处并公开结果。4.加强行业自律和社会监督。5.依法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海洋石油天然气企业安全生产许可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1.实现申请、审批全程网上办理。2.不再要求申请人提交海洋石油特种设备合格检测报告并取得安全使用证或安全标志。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海上石油生产设施设备的建造、安装、使用发证检验制度，指导第三方中介机构开展自律管理。2.压实企业安全生产主体责任，强化自身日常监督检查，及时查处违法违规行为。3.强化对从事海洋石油生产企业的安全监管，发现问题依法严肃查处。4.健全安全生产黑名单制度，对失信企业及其有关人员开展失信惩戒。</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将安全生产检测检验机构取得法定计量认证作为前置条件。2.推行法定代表人承诺、公司承诺管理，对申请材料真实性、固定资产等实行告知承诺。3.依托有关平台，提供统一信息查询服务，便于机构跨区域从业和属地监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生产检测检验机构有关信息的共享和公开，接受社会监督。3.发挥行业组织自律作用，完善技术仲裁工作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1.加快推动信息共享，不再要求申请人提供安全工程师等人员资格证明材料，实行联网查询。2.推行法定代表人承诺、公司承诺管理，对申请材料真实性、固定资产、办公面积等实行告知承诺。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1.开展“双随机、一公开”监管和信用监管，加强执法监督，依法依规对失信主体实行失信惩戒。2.加强对安全评价机构有关信息的共享和公开，接受社会监督。3.发挥行业组织自律作用，完善技术仲裁工作机制。</w:t>
            </w:r>
          </w:p>
        </w:tc>
      </w:tr>
      <w:tr>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1.开展“双随机、一公开”监管，发现违法违规行为要依法严查重处并公开结果。2.加强信用监管，依法向社会公布第一类非药品类易制毒化学品生产企业信用状况，依法依规对失信主体开展失信惩戒。</w:t>
            </w:r>
          </w:p>
        </w:tc>
      </w:tr>
      <w:tr>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1.开展“双随机、一公开”监管，发现违法违规行为要依法严查重处并公开结果。2.加强信用监管，依法向社会公布第一类非药品类易制毒化学品经营企业信用状况，依法依规对失信主体开展失信惩戒。</w:t>
            </w:r>
          </w:p>
        </w:tc>
      </w:tr>
      <w:tr>
        <w:trPr>
          <w:cantSplit/>
          <w:trHeight w:val="21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安全生产许可证（危险化学品）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1.开展“双随机、一公开”监管，发现违法违规行为要依法严查重处并公开结果。2.加强信用监管，依法向社会公布危险化学品生产企业信用状况，依法依规对失信主体开展失信惩戒。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市应急局；县（区）应急部门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1.开展“双随机、一公开”监管，发现违法违规行为要依法严查重处并公开结果。2.加强信用监管，依法向社会公布危险化学品经营企业信用状况，依法依规对失信主体开展失信惩戒。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1.开展“双随机、一公开”监管，发现违法违规行为要依法严查重处并公开结果。2.加强信用监管，依法向社会公布危险化学品使用企业信用状况，依法依规对失信主体开展失信惩戒。</w:t>
            </w:r>
          </w:p>
        </w:tc>
      </w:tr>
      <w:tr>
        <w:trPr>
          <w:cantSplit/>
          <w:trHeight w:val="4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新建、改建、扩建生产、储存危险化学品（包括使用长输管道输送危险化学品）建设项目安全条件审查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危险化学品建设项目安全条件审查意见书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应急部；省应急部门；市应急局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1.开展“双随机、一公开”监管，发现违法违规行为要依法严查重处并公开结果。2.加强信用监管，依法依规对失信主体开展失信惩戒。</w:t>
            </w:r>
          </w:p>
        </w:tc>
      </w:tr>
      <w:tr>
        <w:trPr>
          <w:cantSplit/>
          <w:trHeight w:val="332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338</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经营个人征信业务的征信机构审批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个人征信业务经营许可证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信息平台。2.对许可证件有效期限内未发生行政处罚、责任事故、被列入失信被执行人名单的征信机构，在许可证书有效期满时自愿承诺符合相关审批要求的，实行直接换证（但不得连续两次申请直接换证）。</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境外征信机构在境内经营征信业务审批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关于境外征信机构在境内经营征信业务批复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1.实现申请、审批全程网上办理，并将审批信息统一归集至有关数据平台。2.不再要求申请人提供在申请注册环节已经提交的申请材料，压减审批材料数量30%以上。</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银行卡清算机构准入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《国务院关于实施银行卡清算机构准入管理的决定》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申请人对董事和高级管理人员无犯罪证明、未受行政处罚证明等自愿作出承诺的，不再要求申请人提供有关部门证明材料。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完善持牌机构管理、交易转接合作管理、银行卡清算业务管理等制度，明确监管事项和报告事项，加强对企业的日常监管。</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银行间债券市场结算代理人审批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b/>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商业银行、信用社代理支库业务审批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代理支库业务资格证书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中国人民银行副省级城市中心支行以上分支机构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1.将审批时限由20个工作日压减至15个工作日。2.不再要求申请人提供经营金融业务许可证复印件。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1.开展“双随机、一公开”监管，将代理支库业务检查纳入综合执法检查，发现违法违规行为要依法查处。2.推广国库会计数据集中系统应用。</w:t>
            </w:r>
          </w:p>
        </w:tc>
      </w:tr>
      <w:tr>
        <w:trPr>
          <w:cantSplit/>
          <w:trHeight w:val="25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国库集中收付代理银行资格认定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中国人民银行各级机构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1.将许可证件有效期由2年延长至5年。2.将审批时限由20个工作日压减至15个工作日。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开展“双随机、一公开”监管、专项检查等，依法处罚违法行为。</w:t>
            </w:r>
          </w:p>
        </w:tc>
      </w:tr>
      <w:tr>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黄金及其制品进出口审批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黄金及黄金制品进出口准许证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中国人民银行总行及人行太原中心支行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实施“互联网+监管”，对接有关信息平台进行有效监管。</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进入全国银行间债券市场备案</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rPr>
          <w:cantSplit/>
          <w:trHeight w:val="2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《中华人民共和国中国人民银行法》《非金融机构支付服务管理办法》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不再要求申请人提供验资证明等材料。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1.开展“双随机、一公开”监管，发现违法违规行为要依法查处并公开结果。2.加强信用监管，建立分类评级机制，根据评级结果采取差异化监管措施。3.依法及时处理投诉举报。4.支持行业协会发挥自律作用。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口岸卫生许可证（涉及食品、饮用水）核发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1.严格执行有关法律法规和标准，开展“双随机、一公开”监管，发现违法违规行为要依法查处并公开结果。2.加强信用监管，依法向社会公布企业信用状况，依法依规对失信主体开展失信惩戒。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免税商店设立审批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1.对于口岸进、出境免税商店的设立，由拟设地直属海关代为接收申请文件并完成实地检查，将结果反馈海关总署。2.实现申请、审批全程网上办理。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海关总署会同财政部、税务总局、国家外汇局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每半年1次公布存量保税物流中心（B型）情况。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开展“双随机、一公开”监管、跨部门联合监管等，对经营企业加强监管，发现违法违规行为要依法查处。</w:t>
            </w:r>
          </w:p>
        </w:tc>
      </w:tr>
      <w:tr>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4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9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海关监管货物仓储审批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经营海关监管作业场所企业注册登记证书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直属海关、隶属海关；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1.实现申请、审批全程网上办理。2.取消许可证有效期，改为长期有效。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从事进出境检疫处理业务的单位认定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出入境检疫处理单位核准证书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1.严格执行有关法律法规和标准，对检疫处理过程加强监管，对检疫处理效果进行监督评价。2.每年至少组织1次对检疫处理单位、工作人员及其操作情况的监督检查。</w:t>
            </w:r>
          </w:p>
        </w:tc>
      </w:tr>
      <w:tr>
        <w:trPr>
          <w:cantSplit/>
          <w:trHeight w:val="4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出境动植物及其产品、其他检疫物的生产、加工、存放单位注册登记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出口××生产、加工、存放企业检验检疫注册登记证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办理出境水生动物养殖场、中转场注册登记的，不再要求申请人提供养殖许可证、海域使用证、水质检测报告等材料。3.办理出口饲料生产企业注册登记的，不再要求申请人提供生产许可证明、产品审查批准文件等材料。4.办理饲养场注册登记的，不再要求申请人提供重点区域照片或视频资料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发现被境外通报的质量安全问题和违法违规行为要依法查处。3.加强信用监管，依法依规完善黑名单制度，并对失信主体开展失信惩戒。</w:t>
            </w:r>
          </w:p>
        </w:tc>
      </w:tr>
      <w:tr>
        <w:trPr>
          <w:cantSplit/>
          <w:trHeight w:val="3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通过现场检查、验证、追踪货物环保质量状况等方法加强监督检查，实施风险预警及快速反应管理，依法向社会公布企业信用状况。</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357</w:t>
            </w:r>
          </w:p>
        </w:tc>
        <w:tc>
          <w:tcPr>
            <w:tcW w:w="587"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重要工业产品（除食品相关产品、化肥、危险化学品包装物及容器和电线电缆产品外）生产许可证核发</w:t>
            </w:r>
          </w:p>
        </w:tc>
        <w:tc>
          <w:tcPr>
            <w:tcW w:w="94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1.实现申请、受理、审批全程网上办理。2.继续优化审批流程，在原审批时限基础上进一步压减30%。</w:t>
            </w:r>
          </w:p>
        </w:tc>
        <w:tc>
          <w:tcPr>
            <w:tcW w:w="3454"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1.开展“双随机、一公开”监管。2.在审查中发现出具虚假报告的，要依法严肃处理相关检验检测机构和获证企业。3.开展产品质量安全风险</w:t>
            </w:r>
            <w:r>
              <w:rPr>
                <w:rFonts w:hint="eastAsia" w:ascii="仿宋" w:hAnsi="仿宋" w:eastAsia="仿宋" w:cs="仿宋"/>
                <w:color w:val="auto"/>
                <w:kern w:val="0"/>
                <w:sz w:val="18"/>
                <w:szCs w:val="18"/>
                <w:lang w:eastAsia="zh-CN"/>
              </w:rPr>
              <w:t>监</w:t>
            </w:r>
            <w:r>
              <w:rPr>
                <w:rFonts w:hint="eastAsia" w:ascii="仿宋" w:hAnsi="仿宋" w:eastAsia="仿宋" w:cs="仿宋"/>
                <w:color w:val="auto"/>
                <w:kern w:val="0"/>
                <w:sz w:val="18"/>
                <w:szCs w:val="18"/>
              </w:rPr>
              <w:t>测和监督抽查。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设立认证机构（高风险等级）审批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根据行业发展状况和技术特点，全面梳理修订认证领域目录，按照必要性和最简化原则，对认证领域实施分类管理，对风险等级高的认证领域准入实行优化审批服务。2.取消认证机构在登记注册等环节已经提交的申请材料，压减审批材料数量30%以上。3.将审批时限由45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4.加强信用监管，依法依规构建认证领域黑名单制度，并对失信主体开展失信惩戒。</w:t>
            </w:r>
          </w:p>
        </w:tc>
      </w:tr>
      <w:tr>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从事强制性认证以及相关活动的认证机构、实验室指定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不再要求申请人提供法人登记证书和认证机构批准书等材料。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w:t>
            </w:r>
          </w:p>
        </w:tc>
      </w:tr>
      <w:tr>
        <w:trPr>
          <w:cantSplit/>
          <w:trHeight w:val="24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广播电视视频点播业务许可证（甲种）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将专家评审时限由30个工作日压减至20个工作日。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广播电视视频点播业务（乙种）审批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广播电视视频点播业务许可证（乙种）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1.不再要求申请人提供营业执照、酒店星级证明等材料。2.将审批时限由20个工作日压减至15个工作日。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3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境外广播电视机构在华设立办事机构审批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国家广播电视总局关于同意在华设立办事处的批复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《国务院对确需保留的行政审批项目设定行政许可的决定》《外国企业常驻代表机构登记管理条例》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办理许可证件延期时，不再要求申请人提供市场监管、公安等部门出具的批准文件。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1.加强日常监管，发现违法违规行为要依法查处并公开结果。2.依法及时处理投诉举报，对投诉举报等渠道反映问题多的机构实施重点监管。</w:t>
            </w:r>
          </w:p>
        </w:tc>
      </w:tr>
      <w:tr>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设立电视剧制作单位审批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电视剧制作许可证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办理电视剧制作许可证（乙种）时不再要求申请人提供题材规划立项批准文件复印件、广播电视节目制作经营许可证复印件。2.办理电视剧制作许可证（甲种）时不再要求申请人提供电视剧制作许可证（乙种）复印件、电视剧发行许可证复印件。3.将电视剧制作许可证（乙种）有效期限由180日延长至1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通过日常监听监看、受理群众举报等方式对电视剧制作单位的电视剧制作情况进行监管，发现违法违规行为要依法查处并公开结果。</w:t>
            </w:r>
          </w:p>
        </w:tc>
      </w:tr>
      <w:tr>
        <w:trPr>
          <w:cantSplit/>
          <w:trHeight w:val="46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不再要求申请人提供营业执照、广播电视节目制作经营许可证、广播电视播出机构许可证等材料。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监听监看等方式对网络视听节目内容和质量进行监测，对重点节目、疑似存在问题的节目组织专家进行评议，发现问题要及时依法处理。3.依法及时处理投诉举报，对投诉举报等渠道反映问题多的机构实施重点监管。4.加强信用监管，将有严重违法违规行为的机构列入黑名单，依法依规对相关信用主体实施信用约束和失信惩戒。5.发挥行业协会自律作用。6.在有效期届满延期换证时，通过部门信息共享或网络等渠道，对从业主体的规范从业信息进行核查。</w:t>
            </w:r>
          </w:p>
        </w:tc>
      </w:tr>
      <w:tr>
        <w:trPr>
          <w:cantSplit/>
          <w:trHeight w:val="27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1.加强政务信息共享共用，不再要求申请人提供营业执照、营业场所证明、主要出资单位证明、验资证明等材料。2.将许可证有效期限由1年延长至2年。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1.依法及时处理投诉举报。2.制定年度监管计划，采取实地暗访、专项检查等方式对卫星电视广播地面接收设施安装服务机构经营情况进行监管，发现违法违规行为要依法查处并公开结果。</w:t>
            </w:r>
          </w:p>
        </w:tc>
      </w:tr>
      <w:tr>
        <w:trPr>
          <w:cantSplit/>
          <w:trHeight w:val="45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经营广播电视节目传送业务审批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广播电视节目传送业务经营许可证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有线传送业务，不再要求申请人提供验资报告、营业执照、设备证明、企业章程、人员证明等材料。2.对无线传送业务，取消资金保障及来源、具有必要的设计文件或技术评估报告和基本建设资金、稳定的经费保障、有必要的工作场所、工作环境安全可靠等经营许可条件。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监看节目内容、受理群众举报等方式对广播电视节目传送业务进行监管，发现违法违规行为要依法查处并公开结果。2.加强信用监管，依法向社会公布广播电视节目传送单位信用状况，依法依规对失信主体开展失信惩戒。</w:t>
            </w:r>
          </w:p>
        </w:tc>
      </w:tr>
      <w:tr>
        <w:trPr>
          <w:cantSplit/>
          <w:trHeight w:val="27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从事射击竞技体育运动单位审批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关于同意××设立射击竞技体育运动单位的批复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《全民健身条例》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省体育部门；市行政审批局；县（区）体育或行政审批部门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对相关经营主体和从业人员实施信用约束和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省统计局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涉外统计调查机构资格认定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中华人民共和国涉外调查许可证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《中华人民共和国统计法》《中华人民共和国统计法实施条例》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国家统计局；省统计局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1.实现申请、审批全程网上办理，网上公布办事指南。2.将审批时限由20个工作日压减至8个工作日。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1.及时公示许可信息。2.及时处理投诉举报，依法查处违规调查行为。3.配合有关部门做好行政审批基础信息共享。</w:t>
            </w:r>
          </w:p>
        </w:tc>
      </w:tr>
      <w:tr>
        <w:trPr>
          <w:cantSplit/>
          <w:trHeight w:val="32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对外援助项目咨询服务单位资格认定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对纳税信用等级为A级的申请单位，不再要求提供税务部门出具的完税证明。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1.建立援外项目咨询服务单位信用记录，依法依规对失信主体开展失信惩戒。2.开展重点审计，对重点关注单位、重点项目咨询服务单位进行审计。</w:t>
            </w:r>
          </w:p>
        </w:tc>
      </w:tr>
      <w:tr>
        <w:trPr>
          <w:cantSplit/>
          <w:trHeight w:val="4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出版物零售单位设立、变更审批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县（区）新闻出版部门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rPr>
          <w:cantSplit/>
          <w:trHeight w:val="39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从事特定印刷品（商标、票据、保密印刷）印刷经营活动企业（不含外资企业）的设立、变更审批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4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从事出版物印刷经营活动企业（不含中外合资、合作企业）的设立、变更审批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18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出版单位设立、变更审批（初审）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38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3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1.强化报纸样本数据监测、跟踪和评估，加大报纸质量检查力度。2.扩大纸质报纸审读及借助网络手段审读的覆盖面。</w:t>
            </w:r>
          </w:p>
        </w:tc>
      </w:tr>
      <w:tr>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1.不再要求申请人提供单位基本信息登记表。2.期刊出版单位申请变更名称的，不再要求申请人提供其与主办单位之间隶属关系或出资关系的证明材料。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1.开展“双随机、一公开”监管，强化期刊年检和审读，发现违法违规行为要依法查处并公开结果。2.依法及时处理投诉举报。</w:t>
            </w:r>
          </w:p>
        </w:tc>
      </w:tr>
      <w:tr>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开展“双随机、一公开”监管，发现违法违规行为要依法查处并公开结果。</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音像电子出版物复制单位设立、变更审批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复制经营许可证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出版物批发单位设立、变更审批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18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22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中学小学教科书发行资质审批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不再要求申请人提供关于企业信息管理系统及自有物流配送体系情况的证明材料，改为要求申请单位提供加盖其公章的文字说明，并实地核查其是否具备相应准入条件。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国家网信办；省网信办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日常检查和定期检查相结合的监管制度，依法对互联网新闻信息服务活动实施监督检查。2.畅通投诉举报渠道，依法及时处理投诉举报。3.建立互联网新闻信息服务网络信用记录，依法依规构建失信黑名单制度。4.加强部门间信息共享和协作配合，依法开展联合执法。</w:t>
            </w:r>
          </w:p>
        </w:tc>
      </w:tr>
      <w:tr>
        <w:trPr>
          <w:cantSplit/>
          <w:trHeight w:val="40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外国机构在中国境内提供金融信息的服务业务审批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外国机构在中国境内提供金融信息许可证、外国机构在中国境内投资设立企业提供金融信息服务许可证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1.及时掌握用户情况，定期对备案用户的信息进行核查。2.强化境外金融信息服务终端同步审视，发现问题及时依法处理。3.畅通投诉举报渠道，依法及时处理投诉举报。</w:t>
            </w:r>
          </w:p>
        </w:tc>
      </w:tr>
      <w:tr>
        <w:trPr>
          <w:cantSplit/>
          <w:trHeight w:val="33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《国务院对确需保留的行政审批项目设定行政许可的决定》《气象灾害防御条例》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中国气象局会同国务院电力或通信主管部门；省气象局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1.实现申请、审批全程网上办理。2.不再要求申请人提供营业执照原件和经营场所产权证明原件等材料。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1.开展“双随机、一公开”监管，发现违法违规行为要依法查处并公开结果。2.加强信用监管，依法依规对失信主体开展失信惩戒。3.依法及时处理投诉举报。</w:t>
            </w:r>
          </w:p>
        </w:tc>
      </w:tr>
      <w:tr>
        <w:trPr>
          <w:cantSplit/>
          <w:trHeight w:val="3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36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不再要求申请人提供拟任人个人及其主要家庭成员的征信报告等材料，改为申请人作出有关承诺。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通过行业通报、社会公示、市场禁入等方式进行处理，督促有关人员依法履职。</w:t>
            </w:r>
          </w:p>
        </w:tc>
      </w:tr>
      <w:tr>
        <w:trPr>
          <w:cantSplit/>
          <w:trHeight w:val="4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商业银行、政策性银行、金融资产管理公司对外从事股权投资及商业银行综合化经营审批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不再要求申请人提供被投资方股东（大）会同意吸收商业银行投资的决议等材料。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外资银行营业性机构及其分支机构设立、变更、终止以及业务范围审批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对于申请筹建外商独资银行分行、中外合资银行分行的，不再要求申请人提供营业执照复印件等材料。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1.加强信息共享，通过有关信息平台获取有关信息。2.通过现场检查、非现场监管等方式，密切关注风险，发现违法违规行为要依法查处。</w:t>
            </w:r>
          </w:p>
        </w:tc>
      </w:tr>
      <w:tr>
        <w:trPr>
          <w:cantSplit/>
          <w:trHeight w:val="31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外资银行董事、高级管理人员、首席代表任职资格核准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将非中国银保监会直接监管的外资法人银行董事长、行长任职资格核准由中国银保监会下放至拟任职机构所在地银保监局。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1.加强系统内监管培训，确保全国监管标准一致。2.通过监管约谈、走访督察等方式，督促有关人员依法履职。</w:t>
            </w:r>
          </w:p>
        </w:tc>
      </w:tr>
      <w:tr>
        <w:trPr>
          <w:cantSplit/>
          <w:trHeight w:val="41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9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不再要求申请人提供拟任人个人及其配偶的征信报告等材料，改为申请人作出有关承诺。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采取行业通报、社会公示、市场禁入等方式进行处理，督促有关人员依法履职。</w:t>
            </w:r>
          </w:p>
        </w:tc>
      </w:tr>
      <w:tr>
        <w:trPr>
          <w:cantSplit/>
          <w:trHeight w:val="43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保险公司法人许可证、经营保险业务许可证、批准文件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开业验收报告中提供保险机构和高级管理人员管理信息系统客户端程序生成的电子化数据文件等材料。2.将政策性保险公司分支机构开业审批权限由中国银保监会下放至所在地银保监局。3.保险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保险公司的董事、监事和高级管理人员任职资格审批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1.不再要求申请人提供拟任人综合鉴定等材料。2.对曾经取得保险公司董事、监事和高级管理人员任职资格的人员，再次申请同类性质任职资格的，不再进行任职资格考试。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保险资产管理公司法人许可证、批准文件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筹建申请材料中提供筹建负责人的任职资格申请书、身份证明、学历和学位证书复印件等材料。2.不再要求申请人在变更营业场所申请材料中提供新营业场所符合办公条件的情况报告等材料。3.不再要求申请人在变更业务范围申请材料中提供业务范围变更后的可行性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1.通过现场检查、非现场监管等方式，密切关注风险，发现违法违规行为要依法查处。2.针对重点领域风险，健全有关制度，建立风险防范长效机制。3.压实机构主体责任，强化行业自律管理。</w:t>
            </w:r>
          </w:p>
        </w:tc>
      </w:tr>
      <w:tr>
        <w:trPr>
          <w:cantSplit/>
          <w:trHeight w:val="2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1.通过现场检查、非现场监管等方式，密切关注风险，发现违法违规行为要依法查处。2.针对重点领域风险，健全有关制度，建立风险防范长效机制。3.加强与有关部门的信息共享，定期组织交流会议。</w:t>
            </w:r>
          </w:p>
        </w:tc>
      </w:tr>
      <w:tr>
        <w:trPr>
          <w:cantSplit/>
          <w:trHeight w:val="2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2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1.通过现场检查、非现场监管等方式，密切关注风险，发现违法违规行为要依法查处。2.针对重点领域风险，健全有关制度，建立风险防范长效机制。3.加强部门间信息共享，定期组织交流会议。</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对有关人员通过行业通报、社会公示、市场禁入等方式进行处理，督促有关人员依法履职。</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专属自保组织和相互保险组织设立、合并、分立、变更和解散审批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1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专属自保、相互保险等组织高级管理人员资格核准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1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经营保险代理业务许可证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0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16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经营保险经纪业务许可证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2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49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关系社会公众利益的保险险种、依法实行强制保险的险种和新开发的人寿保险险种等的保险条款和保险费率审批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对于使用中国保险行业协会车险示范条款的保险产品，不再要求申请人报送保险条款等材料。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1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保险公司拓宽保险资金运用形式审批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不再要求申请人在保险公司境外投资申请材料中提供偿付能力报告等材料。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1.加强对资产负债管理的监管和动态监测。2.通过现场检查、非现场监管等方式，密切关注风险，发现违法违规行为要依法查处。3.强化保险公司拓宽保险资金运用形式分类监管。</w:t>
            </w:r>
          </w:p>
        </w:tc>
      </w:tr>
      <w:tr>
        <w:trPr>
          <w:cantSplit/>
          <w:trHeight w:val="29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融资担保公司设立、变更审批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《国务院对确需保留的行政审批项目设定行政许可的决定》《融资担保公司监督管理条例》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将审批时限由30日压减至20日。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1.运用大数据等技术手段实时监测风险，加强现场检查和非现场监管。2.建立与有关部门的监管协调机制和信息共享机制。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设立典当行及分支机构审批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将典当经营许可证的有效期限由6年延长至10年。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1.通过年审、现场检查、非现场监管等方式，加强事中事后监管，发现违法违规行为要依法查处。2.进一步完善监管指标体系，建立分级、分类监管制度，强化市场约束，提高监管透明度。</w:t>
            </w:r>
          </w:p>
        </w:tc>
      </w:tr>
      <w:tr>
        <w:trPr>
          <w:cantSplit/>
          <w:trHeight w:val="29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证券公司设立、变更重大事项审批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申请保荐业务资格审批流程由申请人筹备、通过现场检查再批准，改为先批准、申请人筹备并通过现场检查再开展业务。2.不再要求申请人提供法律意见书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4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基金托管人资格核准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流程由申请人筹备、通过现场检查再批准，改为先批准、申请人筹备并通过现场检查再开展业务。2.不再要求申请人在批复阶段提供执业人员基本情况、安全保管基金财产有关条件报告、基金清算和交割系统运行测试报告、办公场所平面图、安全监控系统安装调试情况报告、基金托管业务备份系统设计方案和应急处理方案、应急处理能力测试报告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7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公募基金管理公司设立、变更重大事项和公募基金管理人资格审批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公募基金管理公司设立、公募基金管理人资格审批流程由申请人筹备、通过现场检查再批准，改为先批准、申请人筹备并通过现场检查再开展业务。2.不再要求申请人在公募基金管理人资格审批批复阶段提供风险控制指标监管报表、证监局出具的现场检查报告、行业监管（自律管理）部门出具的意见等材料。3.不再要求申请人在批复阶段提供具有境外投资管理相关经验人员的教育经历、工作经验、从业资格、专业职称等基本情况介绍等材料。4.将证券业务许可证、基金业务许可证统一为经营证券期货业务许可证。5.在网上公开服务指南、受理进度、审批结果等。6.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3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基金服务机构注册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基金销售业务资格审批流程由申请人筹备、通过现场检查再批准，改为先批准、申请人筹备并通过现场检查再开展业务。2.将证券业务许可证、基金业务许可证统一为经营证券期货业务许可证。3.在网上公开服务指南、受理进度、审批结果等。4.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申请设立期货交易场所的审批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1.要求期货交易场所建立健全相关制度，加强对交易结算活动的风险控制，加大对会员、工作人员的监管力度。2.加强现场检查。</w:t>
            </w:r>
          </w:p>
        </w:tc>
      </w:tr>
      <w:tr>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申请设立期货专门结算机构的审批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1.要求期货专门结算机构建立健全相关制度，加强对结算相关活动的风险控制和工作人员的监督管理。2.根据市场情况及重点工作安排，加强现场检查。</w:t>
            </w:r>
          </w:p>
        </w:tc>
      </w:tr>
      <w:tr>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期货公司设立、合并、分立、停业、解散或者破产，变更业务范围、注册资本、5%以上股权的审批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1.开展“双随机、一公开”监管。2.强化对关联交易的日常监管，发现违法违规行为要依法查处。3.强化对公司治理的监管，督促期货公司股东按期报送股权变动等信息。</w:t>
            </w:r>
          </w:p>
        </w:tc>
      </w:tr>
      <w:tr>
        <w:trPr>
          <w:cantSplit/>
          <w:trHeight w:val="30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期货公司境内及境外期货经纪业务、期货投资咨询业务许可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1.开展“双随机、一公开”监管。2.加强日常监管，发现违法违规行为要依法查处。</w:t>
            </w:r>
          </w:p>
        </w:tc>
      </w:tr>
      <w:tr>
        <w:trPr>
          <w:cantSplit/>
          <w:trHeight w:val="24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投资咨询机构从事证券服务业审批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1.强化股权变更管理。2.加强对分支机构的合规管控。3.加大对违法违规行为的查处力度。</w:t>
            </w:r>
          </w:p>
        </w:tc>
      </w:tr>
      <w:tr>
        <w:trPr>
          <w:cantSplit/>
          <w:trHeight w:val="48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境外机构投资者资格审批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降低资格准入条件，取消指标类条件等，仅保留对合规情况和投资经历的要求，取消资产管理规模等准入条件。2.以申请表、问卷等形式细化明确材料要求，不再要求申请人提供投资计划书、审计报告等材料。3.在网上公开服务指南、受理进度、审批结果等。4.推动实现申请、审批全程网上办理。5.将审批时限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1.建立信息共享和监管协作机制，及时发现和处置跨市场异常交易行为。2.强化穿透式监管要求。3.细化合格投资者和托管人的违规情形，明确监管职责和处罚措施，加大查处力度。</w:t>
            </w:r>
          </w:p>
        </w:tc>
      </w:tr>
      <w:tr>
        <w:trPr>
          <w:cantSplit/>
          <w:trHeight w:val="5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证券交易所、国务院批准的其他全国性证券交易场所的设立、变更和解散审核、证券登记结算机构设立和解散审批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rPr>
          <w:cantSplit/>
          <w:trHeight w:val="21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证券金融公司设立和解散审批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rPr>
          <w:cantSplit/>
          <w:trHeight w:val="34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境外证券经营机构在境内经营证券业务审批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40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军粮供应站资格、军粮供应委托代理资格认定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军粮供应站资格证书、军粮代供点资格证书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1.不再要求申请人提供事业单位设立批准文件复印件、省粮食和储备局认为需要提交的其他材料。2.将实地核查办理时限由15个工作日压减至10个工作日。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通过“双随机、一公开”监管、重点监管等方式，对制度落实、计划管理、军粮质量、核算手续、经费往来等加强监管。</w:t>
            </w:r>
          </w:p>
        </w:tc>
      </w:tr>
      <w:tr>
        <w:trPr>
          <w:cantSplit/>
          <w:trHeight w:val="42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核材料许可证核发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核材料衡算与控制规程、反应堆燃耗分析计算程序及精度说明、反应堆热功率和功率分布监测方法及其精度说明、核材料实物保护系统的测试和维护说明、核材料相关的保密管理措施、实物保护系统有效性评估等材料。2.技术审评与现场检查实行并联办理，将审批时限压减15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加强对持证单位的监测，针对发现的普遍性问题和突出风险开展专项检查，确保不发生系统性、区域性风险。3.取换证现场检查期间，对核材料衡算、核材料实物保护与保密工作等相关支持性文件进行检查。</w:t>
            </w:r>
          </w:p>
        </w:tc>
      </w:tr>
      <w:tr>
        <w:trPr>
          <w:cantSplit/>
          <w:trHeight w:val="3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跨部门联合监管等，发现问题及时依法处理。2.强化属地管理，地方国防科技工业部门对本行政区域内从事生产活动的单位加强监管。3.依法及时处理投诉举报。4.强化信用约束，对弄虚作假、提供假冒伪劣产品等严重失信的单位，依法依规将其列入失信黑名单并通报。</w:t>
            </w:r>
          </w:p>
        </w:tc>
      </w:tr>
      <w:tr>
        <w:trPr>
          <w:cantSplit/>
          <w:trHeight w:val="2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一级、二级国防计量技术机构设置审批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1.网上公布受理条件、审批程序、办理标准，提供电话查询办理进度渠道。2.取消信息报送、量值比对、学术交流、计量仲裁等18项审查标准。3.将审批时限由35个工作日压减至25个工作日。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rPr>
          <w:cantSplit/>
          <w:trHeight w:val="2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军品出口经营权和经营范围审批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《中华人民共和国军品出口管理条例》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1.通过“双随机、一公开”监管、跨部门联合监管等方式，依法查处违法行为。2.加强信用监管，依法依规对失信主体开展失信惩戒。</w:t>
            </w:r>
          </w:p>
        </w:tc>
      </w:tr>
      <w:tr>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设立烟叶收购站（点）审批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烟草专卖烟叶收购证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烟草制品生产企业设立、分立、合并、撤销审批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烟草制品生产企业的决定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1.开展“双随机、一公开”监管，加强对持证主体合规生产经营的监管，发现违法违规行为要依法查处并公开结果。2.取缔无证生产经营主体。</w:t>
            </w:r>
          </w:p>
        </w:tc>
      </w:tr>
      <w:tr>
        <w:trPr>
          <w:cantSplit/>
          <w:trHeight w:val="34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外商投资设立烟草专卖生产企业审批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外商投资烟草专卖生产企业行政许可决定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39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烟草制品批发企业设立、分立、合并、撤销审批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烟草制品批发企业的决定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国家烟草局；省烟草专卖局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rPr>
          <w:cantSplit/>
          <w:trHeight w:val="26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市烟草局；县（区）烟草部门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省级以上烟草专卖行政主管部门</w:t>
            </w:r>
            <w:r>
              <w:rPr>
                <w:rFonts w:hint="eastAsia" w:ascii="Times New Roman" w:hAnsi="Times New Roman"/>
                <w:color w:val="auto"/>
                <w:kern w:val="0"/>
                <w:sz w:val="18"/>
                <w:szCs w:val="18"/>
                <w:lang w:eastAsia="zh-CN"/>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将审批时限由3个工作日压减至2个工作日。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1.开展“双随机、一公开”监管，加强对持证主体合规运输烟草专卖品的监管，发现违法违规行为要依法查处并公开结果。2.对无证运输或超量携带烟草专卖品的行为依法进行查处。</w:t>
            </w:r>
          </w:p>
        </w:tc>
      </w:tr>
      <w:tr>
        <w:trPr>
          <w:cantSplit/>
          <w:trHeight w:val="2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林草种子（进出口）生产经营许可证核发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1.取消省林草局实施的审核，申请人直接向国家林草局提出申请。2.不再要求申请人提供经营场所权属证明、生产用地用途证明等材料。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向社会公开，依法依规对失信主体开展失信惩戒。3.依法及时处理投诉举报。4.发挥行业协会自律作用。</w:t>
            </w:r>
          </w:p>
        </w:tc>
      </w:tr>
      <w:tr>
        <w:trPr>
          <w:cantSplit/>
          <w:trHeight w:val="54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林草种子（林木良种籽粒、穗条等繁殖材料，主要草种杂交种子及其亲本种子、常规原种种子）生产经营许可证核发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1.开展“双随机、一公开”监管，发现违法违规行为要依法查处并公开结果。2.加强信用监管，建立企业信用记录并依法公开，依法依规对失信单位和个人开展失信惩戒。3.发挥行业协会自律作用。</w:t>
            </w:r>
          </w:p>
        </w:tc>
      </w:tr>
      <w:tr>
        <w:trPr>
          <w:cantSplit/>
          <w:trHeight w:val="2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1.不再要求申请人提供林草种子（进出口）生产经营许可证等材料。2.将草种进出口审批表有效期由3个月延长至6个月。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1.开展“双随机、一公开”监管，发现违法违规行为要依法查处并公开结果。2.依法及时处理投诉举报。3.加强信用监管，建立企业信用记录并依法向社会公开，依法依规对失信主体开展失信惩戒。</w:t>
            </w:r>
          </w:p>
        </w:tc>
      </w:tr>
      <w:tr>
        <w:trPr>
          <w:cantSplit/>
          <w:trHeight w:val="28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不再要求申请人提供林草种子生产经营许可证等材料。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开展“双随机、一公开”监管和专项检查，发现违法违规行为要依法查处并公开结果。</w:t>
            </w:r>
          </w:p>
        </w:tc>
      </w:tr>
      <w:tr>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出售、收购国家二级保护野生植物审批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省林草局或者其授权的机构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加强信用监管，加大监督检查力度，依法依规对失信主体开展失信惩戒。</w:t>
            </w:r>
          </w:p>
        </w:tc>
      </w:tr>
      <w:tr>
        <w:trPr>
          <w:cantSplit/>
          <w:trHeight w:val="74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由国家林草局审批的国家重点保护陆生野生动物人工繁育许可证核发（除已制定人工繁育技术标准的物种外）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1.实现申请、审批网上办理，进一步优化审批流程，规范专家评审。2.将审批时限由20个工作日压减至15个工作日。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rPr>
          <w:cantSplit/>
          <w:trHeight w:val="7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省级权限内国家重点保护陆生野生动物人工繁育许可证核发（除已制定人工繁育技术标准的物种和列入人工繁育国家重点保护陆生野生动物目录的物种外）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1.对申请增加繁育种类的不再要求申请人提供原驯养繁殖许可证和相关批准文件等材料。2.进一步优化审批流程，规范专家评审。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rPr>
          <w:cantSplit/>
          <w:trHeight w:val="16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不再要求申请人提供产品认证证明等材料。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1.开展“双随机、一公开”监管，发现违法违规行为要依法查处并公开结果。2.加强信用监管，依法向社会公布铁路运输基础设备生产企业信用状况，依法依规对失信主体开展失信惩戒。</w:t>
            </w:r>
          </w:p>
        </w:tc>
      </w:tr>
      <w:tr>
        <w:trPr>
          <w:cantSplit/>
          <w:trHeight w:val="37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铁路机车车辆设计、制造、维修或进口许可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铁路机车车辆型号合格证、铁路机车车辆制造许可证、铁路机车车辆维修许可证、铁路机车车辆进口许可证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1.不再要求申请人提供营业执照副本等材料。2.按产品型号，将维修许可证有效期分别延长至5年、8年、10年。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1.开展“双随机、一公开”监管，发现违法违规行为要依法查处并公开结果。2.加强信用监管，依法向社会公布铁路机车车辆设计、制造、维修和进口企业信用状况，依法依规对失信主体开展失信惩戒。</w:t>
            </w:r>
          </w:p>
        </w:tc>
      </w:tr>
      <w:tr>
        <w:trPr>
          <w:cantSplit/>
          <w:trHeight w:val="21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铁路运输企业准入许可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不再要求申请人提供营业执照副本等材料。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1.开展“双随机、一公开”监管，发现违法违规行为要依法查处并公开结果。2.加强信用监管，依法向社会公布铁路运输企业信用状况，依法依规对失信主体开展失信惩戒。</w:t>
            </w:r>
          </w:p>
        </w:tc>
      </w:tr>
      <w:tr>
        <w:trPr>
          <w:cantSplit/>
          <w:trHeight w:val="1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民用航空器（发动机、螺旋桨）生产许可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民用航空器零部件制造人批准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零部件制造人批准书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rPr>
          <w:cantSplit/>
          <w:trHeight w:val="2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民用航空器维修单位维修许可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在民航飞行标准监督管理系统一次性提交申请及相关材料，并可在线查询审批进度。2.对于集团化多地点维修企业，减少企业在各地重复申请许可，推行“一证多地”政策，实现企业申领一张维修许可证即可跨区域从事航空器及部件维修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1.改进工作差错和不安全事件的监管处理流程，提升监管效率和精准度。2.改进监管理念和作风，不以实行单一惩戒为目标，推动企业合法经营和持续发展。</w:t>
            </w:r>
          </w:p>
        </w:tc>
      </w:tr>
      <w:tr>
        <w:trPr>
          <w:cantSplit/>
          <w:trHeight w:val="12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1.通过年报制度加强对经营活动的监管。2.通过诚信体系建设，加强主体监管。</w:t>
            </w:r>
          </w:p>
        </w:tc>
      </w:tr>
      <w:tr>
        <w:trPr>
          <w:cantSplit/>
          <w:trHeight w:val="21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中外公共航空运输承运人运行合格证核发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航空承运人运行合格证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1.优化外国公共航空运输承运人合格审定审批流程。2.对部分项目进行合并或简化，将申请要件由36项压减至20项。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依托有关系统对监督检查活动进行统一计划管理，对于检查绩效不良的公司适当增加检查频次，对监督检查结果由民航飞行标准监督管理系统记录并视情况采取进一步管控措施。</w:t>
            </w:r>
          </w:p>
        </w:tc>
      </w:tr>
      <w:tr>
        <w:trPr>
          <w:cantSplit/>
          <w:trHeight w:val="4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中外航空运输企业航线（航班运输）经营许可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航线经营许可证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通过邮寄（快递）接收申请材料、寄送许可证件。3.航空公司申请国际航权资源实行事前承诺制，要求在获得公共航空运输企业经营许可证、具有与经营该国际航线相适应的民用航空器、投保相关保险、对开航可行性进行充分研究、国外机场运行保障和安保措施证明材料以及有能力确保航权有效执行等方面作出守信承诺。4.取消国内航线经营许可证有效期。</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引入实际飞行数据，提升航线航班执行情况监控的及时性和完整性。2.依法依规对航空运输企业航线（航班运输）经营许可使用情况进行监管，及时注销不符合法规要求的证照。3.加强诚信体系建设，强化对航线航班经营主体的信用约束。4.对航空公司航班计划执行情况和航权使用率实施监测记分，根据记分情况实施新增国际航线航班的准入惩戒，对未在规定期限内开航或未充分使用航权的航空公司实施航权清理。</w:t>
            </w:r>
          </w:p>
        </w:tc>
      </w:tr>
      <w:tr>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航空营运人运输危险品资格批准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危险品航空运输许可证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1.取消审批中的专家评审环节。2.不再要求申请人提供公共航空运输企业经营许可证复印件等材料。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1.推进危险品安全管理体系建设，进一步落实企业安全主体责任。2.依托有关信息系统，完善涉及危险品航空运输的监管事项，加强监督检查力度。</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商业非运输运营人、私用大型航空器运营人、航空器代管人运行合格证核发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商业非运输航空运营人运行合格证及私用大型航空器运营人和航空器代管人运行规范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1.实现网上一次性提交相关材料。2.对部分运行种类（如空中游览、一般商业运行）实现文件审查与现场验证环节合并进行。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除被吊销、撤销、注销外，许可证长期有效。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1.开展“双随机、一公开”监管，对载客运输类、载人作业类进行重点监管。2.建立通用航空诚信评价体系，对诚信记录较差的企业增加检查频次及强度。3.加强信用监管，依法依规对失信主体开展失信惩戒。</w:t>
            </w:r>
          </w:p>
        </w:tc>
      </w:tr>
      <w:tr>
        <w:trPr>
          <w:cantSplit/>
          <w:trHeight w:val="27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外航驻华常设机构设立审批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外国航空运输企业常驻代表机构批准证书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《中华人民共和国国务院关于管理外国企业常驻代表机构的暂行规定》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委托第三方机构，免费向外航申请人提供全程中英文办理指导。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1.开展“双随机、一公开”监管、重点监管和非现场监管，及时处理投诉举报。2.对监管中发现的问题及时约谈行政相对人，要求其整改，必要时在民航当局间进行磋商。</w:t>
            </w:r>
          </w:p>
        </w:tc>
      </w:tr>
      <w:tr>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民用航空器驾驶员学校审定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1.实现申请、审批全程网上办理。2.不再要求申请人提供商业非运输航空运营人合格证等材料。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飞行训练中心合格证及运行规范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1.精简飞行训练中心合格认定的申请要件，优化申请系统模块。2.合并或删减不必要的项目，避免重复提交材料。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29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民用航空维修技术人员学校合格认定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维修培训机构合格证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允许申请人网上一次性提交申请及相关材料，并可在线查询审批进度。2.调整运动类和非复杂航空器的机型培训管理方式。3.对较大规模的维修培训机构，减少在各地重复申请许可，推行“一证多地”政策，实现维修培训机构申领一张许可证件即可跨区域从事维修培训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1.改变监管方式，以培训质量为核心，发挥市场评估和学员评估作用。2.加强信用监管，依法依规对失信主体开展失信惩戒。</w:t>
            </w:r>
          </w:p>
        </w:tc>
      </w:tr>
      <w:tr>
        <w:trPr>
          <w:cantSplit/>
          <w:trHeight w:val="22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1.将训练机构合格证有效期由2年延长至5年。2.对续办训练机构合格证的，取消关于“毕业于该飞行签派员训练机构的学员在参加实践考试中第一次测试合格率达到80%”的要求。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民用航空油料供应商适航批准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民用航空油料供应企业适航批准书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rPr>
          <w:cantSplit/>
          <w:trHeight w:val="25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民用航空油料企业安全运营许可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民用机场航空燃油供应安全运营许可证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1.申请人可就近前往民航地区管理局领取许可证件。2.在申请材料符合完整性、真实性、合法性要求的基础上，申请人可“最多跑一次”完成取证工作。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对航油企业进行不定期检查，对可能产生重大影响的情况及时告知航油企业所在机场的管理机构，发现违规情形要依法查处。</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民用航空油料测试单位批准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民用航空油料检测单位批准函</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rPr>
          <w:cantSplit/>
          <w:trHeight w:val="23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对公众开放的民用机场使用许可证核发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批复文件和民用机场使用许可证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1.实现申请、审批全程网上办理。2.申请人可就近前往民航地区管理局领取许可证件。3.取消许可证5年有效期，改为长期有效。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经营进出境邮政通信业务审批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1.网上公布审批程序、受理条件、查询方式。2.不再要求申请人提供邮政通信业务经营场地证明等材料。3.将审批时限由20个工作日压减至10个工作日。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1.严格执行法律法规的规定，对经营邮政通信业务企业加强监督。2.开展“双随机、一公开”监管，发现违法违规行为要依法查处并公开结果。</w:t>
            </w:r>
          </w:p>
        </w:tc>
      </w:tr>
      <w:tr>
        <w:trPr>
          <w:cantSplit/>
          <w:trHeight w:val="25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《中华人民共和国邮政法》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1.实现申请、审批全程网上办理并在网上公布审批程序、受理条件、查询方式。2.不再要求申请人提供快递业务经营场地证明等材料。3.将审批时限由45个工作日压减至22个工作日。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1.严格执行法律法规的规定，对经营快递业务的企业加强监督。2.开展“双随机、一公开”监管，发现违法违规行为要依法查处并公开结果。</w:t>
            </w:r>
          </w:p>
        </w:tc>
      </w:tr>
      <w:tr>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馆藏文物修复、复制、拓印单位资质认定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可移动文物修复资质证书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不再要求申请人提供有关人员身份证复印件等材料。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1.开展“双随机、一公开”监管。2.健全年度报告和公示制度，加强社会监督。</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煤矿安全生产许可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安全生产许可证（煤矿）</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办理标准，公开办理进度。2.不再要求申请人提供主要负责人及安全生产管理人员的安全生产知识和管理能力考核合格证复印件、特种作业人员操作资格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分级分类监管监察要求，严格按计划实施监管监察执法。2.严格按照安全生产条件对企业申报材料进行审查，对不具备安全生产条件的，不予颁发安全生产许可证。3.加强信用监管，依法依规将存在违法违规失信行为的煤矿企业纳入黑名单，并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非煤矿矿山企业安全生产许可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1.实现申请、审批全程网上办理。2.不再要求地质勘探单位提供地质勘查资质证书复印件，不再要求从事爆破作业的金属非金属矿山、地质勘查和采掘施工单位提供爆破作业单位许可证复印件。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1.开展“双随机、一公开”监管，发现违法违规行为要依法查处并公开结果。2.加强信用监管，依法依规对失信主体开展失信惩戒。</w:t>
            </w:r>
          </w:p>
        </w:tc>
      </w:tr>
      <w:tr>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银行、农村信用社、兑换机构及非金融机构等结汇、售汇业务市场准入、退出审批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批准文件、个人本外币兑换特许业务经营许可证或备案通知书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国家外汇局、外汇分局及外汇管理部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rPr>
          <w:cantSplit/>
          <w:trHeight w:val="2921"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479</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保险、证券公司等非银行金融机构外汇业务市场准入、退出审批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国家外汇局及外汇分支局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480</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rPr>
          <w:cantSplit/>
          <w:trHeight w:val="29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481</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筹建药品批发企业申请。2.药品批发企业申请药品经营许可证变更企业名称、法定代表人、企业负责人、企业质量负责人实施当日办结。3.实现申请、审批全程网上办理。4.压缩审批材料，不再要求申请人提供营业执照、无违法违规证明等材料。</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1.落实“四个最严”要求，制定年度监管计划，突出监管重点，强化风险控制。2.通过日常监管督促企业不断完善、改进质量管理体系，持续合法合规经营。3.对违法违规行为，依法严厉查处并公开曝光。</w:t>
            </w:r>
          </w:p>
        </w:tc>
      </w:tr>
      <w:tr>
        <w:trPr>
          <w:cantSplit/>
          <w:trHeight w:val="743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《化妆品监督管理条例》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申请许可提交的材料精简，不再要求申请人提供营业执照复印件、法定代表人身份证复印件等材料。2.创新“互联网＋许可”，全面推行化妆品许可全流程网上办理。3.进一步优化审批服务：缩短许可时限，作出行政许可决定的时限缩短至自受理申请之日起20个工作日内；因特殊原因需要延长时限的，经本行政机关负责人批准，可以延长5个工作日。4.对申请人申请企业名称、法定代表人、质量负责人、生产地址文字性变化（地理位置等不变）或企业住所等登记事项发生变化，而企业生产条件、检验能力、生产技术和工艺等未发生变化的变更、补证等许可事项，实施当日办结。</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化妆品监督抽验，对检验不合格产品依法查处并通告。2.加强对化妆品生产企业的飞行检查，发现违法行为依法查处并通告。3.加强化妆品不良反应监测，对发生严重不良反应的产品及其生产企业依法进行调查，发现违法违规行为要依法查处。</w:t>
            </w:r>
          </w:p>
        </w:tc>
      </w:tr>
      <w:tr>
        <w:trPr>
          <w:cantSplit/>
          <w:trHeight w:val="1267"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483</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新药生产和上市许可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药品注册批件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1.实现申请、审批全程网上办理。2.将审批时限由20个工作日压减至14个工作日。</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1.及时公开许可信息。2.加强药品上市后的监管，发现问题依法处理。3.强化部门间信息共享应用。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医疗机构配制制剂持续合规，依法查处违法违规行为。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国产药品再注册审批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药品再注册批件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1.实现申请、审批全程网上办理。2.公布审批程序、受理条件和办理标准，公开办理进度。3.整合药品生产经营许可等审批事项中相关联的现场检查，提高审批效率。</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1.按照程序及时公开许可信息。2.加强药品上市后监管，发现问题依法处理。3.推进部门间信息共享应用。</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将放射性药品生产企业审批权限由国家药监局和国家国防科工局下放至省药监局和省国防科工局。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生产企业加强监管。2.实施重点监管，发现违法违规行为要依法严查重处。3.完善药监、国防科工、生态环境等部门间的协调配合机制，及时共享放射性药品生产企业信息。4.及时向社会公开许可证有关信息，加强社会监督。</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将放射性药品经营企业审批权限由国家药监局和国家国防科工局下放至省药监局和省国防科工局。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经营企业加强监管。2.实施重点监管，发现违法违规行为要依法严查重处。3.完善药监、国防科工、生态环境等部门间的协调配合机制，及时共享放射性药品经营企业信息。4.及时向社会公开许可信息，加强社会监督。</w:t>
            </w:r>
          </w:p>
        </w:tc>
      </w:tr>
      <w:tr>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医疗机构使用放射性药品（三、四类）许可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不再要求申请人提供人员资历证明等材料。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医疗机构使用放射性药品加强监管。2.完善药监、卫生健康、生态环境等部门间的协调配合机制，及时共享医疗机构使用放射性药品信息。3.实施重点监管，发现违法违规行为要依法严查重处。4.及时向社会公开许可信息，加强社会监督。</w:t>
            </w:r>
          </w:p>
        </w:tc>
      </w:tr>
      <w:tr>
        <w:trPr>
          <w:cantSplit/>
          <w:trHeight w:val="22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药品类易制毒化学品生产许可批件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7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经营第一类中的药品类易制毒化学品审批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在药品经营许可证经营范围中标注“药品类易制毒化学品”，括号内标注药品类易制毒化学品名称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麻醉药品和精神药品定点生产批件在药品生产许可证正本标注类别，副本上类别后标注药品名称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9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麻醉药品和第一类精神药品批发企业审批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批准文件，在药品经营许可证上注明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麻醉药品和精神药品进出口准许证核发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麻醉药品出口准许证、麻醉药品进口准许证、精神药品出口准许证、精神药品进口准许证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药品经营企业从事第二类精神药品批发业务的审批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第二类精神药品零售业务审批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药品批发企业经营蛋白同化制剂、肽类激素审批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8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蛋白同化制剂、肽类激素进口准许证核发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5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第二类、第三类医疗器械生产许可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加大执法检查力度，督促企业严格落实医疗器械生产质量管理规范要求，发现违法违规行为要依法严查重处。</w:t>
            </w:r>
          </w:p>
        </w:tc>
      </w:tr>
      <w:tr>
        <w:trPr>
          <w:cantSplit/>
          <w:trHeight w:val="28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第二类医疗器械产品注册审批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1.推动实现第二类医疗器械审评标准规范统一。2.不再要求申请人提供营业执照、法定代表人或者主要负责人身份证明等材料，通过部门间信息共享获取相关信息。3.将审批时限由20个工作日压减至14个工作日。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1.将医疗器械注册数据上报情况列入年度考核内容。2.加大执法检查力度，发现违法违规行为要依法严查重处。</w:t>
            </w:r>
          </w:p>
        </w:tc>
      </w:tr>
      <w:tr>
        <w:trPr>
          <w:cantSplit/>
          <w:trHeight w:val="18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第三类医疗器械经营许可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加大执法检查力度，督促企业严格落实医疗器械经营质量管理规范要求，发现违法违规行为要依法严查重处。</w:t>
            </w:r>
          </w:p>
        </w:tc>
      </w:tr>
      <w:tr>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药物非临床研究质量管理规范（GLP）认证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药物GLP认证批件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1.实现申请、审批全程网上办理。2.不再要求申请人提供药物研究机构备案证明文件等材料。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1.推动落实省药监局药品注册管理的日常监管职责。2.对已通过认证的机构每3年开展定期检查。3.对注册品种检查过程中发现的违法违规行为要依法查处。</w:t>
            </w:r>
          </w:p>
        </w:tc>
      </w:tr>
      <w:tr>
        <w:trPr>
          <w:cantSplit/>
          <w:trHeight w:val="37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8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6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省国家密码局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商用密码产品质量检测机构审批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不再要求申请人提供法人资格证明等材料。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对有投诉举报和质量问题的机构实施重点监管。3.加强信用监管，依法向社会公布商用密码产品质量检测机构信用状况，依法依规对失信主体开展失信惩戒。</w:t>
            </w:r>
          </w:p>
        </w:tc>
      </w:tr>
      <w:tr>
        <w:trPr>
          <w:cantSplit/>
          <w:trHeight w:val="31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电影发行单位设立、变更业务范围或者兼并、合并、分立审批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能够通过企业信用信息公示系统直接查询的，不再要求申请人提供营业执照等材料。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1.开展“双随机、一公开”监管，发现违法违规行为要依法查处并公开结果。2.依法及时处理投诉举报。3.发挥行业协会自律作用。</w:t>
            </w:r>
          </w:p>
        </w:tc>
      </w:tr>
      <w:tr>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县（区）电影主管部门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实行申请材料网上预审。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rPr>
          <w:cantSplit/>
          <w:trHeight w:val="17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外商投资电影院设立许可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取消申请材料中省商务厅批准设立外商投资电影院的文件。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rPr>
          <w:cantSplit/>
          <w:trHeight w:val="2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人民防空工程防护设备定点生产安装企业资格认定证书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1.根据行业发展状况和技术特点，按照必要性和最简化原则，对防护设备实行目录管理。2.将审批时限由20个工作日压减至15个工作日。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对有投诉举报和质量问题的企业实施重点监管。3.对人防企业的从业行为和产品质量实施“互联网+监管”，针对发现的普遍性问题和突发风险开展专项检查。4.加强信用监管，依法依规构建黑名单制度，并建立相关失信惩戒制度。</w:t>
            </w:r>
          </w:p>
        </w:tc>
      </w:tr>
      <w:tr>
        <w:trPr>
          <w:cantSplit/>
          <w:trHeight w:val="30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港口（涉及客运和危险货物港口作业的经营项目除外）经营许可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港口（旅客、危险货物）经营许可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航运公司安全营运与防污染能力符合证明核发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符合证明、船舶安全管理证书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《国务院对确需保留的行政审批项目设定行政许可的决定》《防治船舶污染海洋环境管理条例》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交通运输部直属海事局、分支海事局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从事内地与港澳间客船、散装液体危险品船运输业务许可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港口设施保安证书核发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港口设施保安符合证书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1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建设港口设施使用非深水岸线审批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省、市、县交通运输（港口）部门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深海海底区域资源勘探开发许可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《中华人民共和国深海海底区域资源勘探开发法》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设区的市级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县级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bl>
    <w:p>
      <w:pPr>
        <w:spacing w:line="320" w:lineRule="exact"/>
        <w:rPr>
          <w:color w:val="auto"/>
          <w:sz w:val="44"/>
          <w:szCs w:val="44"/>
        </w:rPr>
      </w:pPr>
    </w:p>
    <w:p>
      <w:pPr>
        <w:spacing w:line="600" w:lineRule="exact"/>
        <w:ind w:left="0" w:hanging="1744" w:hangingChars="400"/>
        <w:jc w:val="center"/>
        <w:rPr>
          <w:rFonts w:ascii="方正小标宋简体" w:hAnsi="华文中宋" w:eastAsia="方正小标宋简体" w:cs="华文中宋"/>
          <w:color w:val="auto"/>
          <w:sz w:val="44"/>
          <w:szCs w:val="44"/>
        </w:rPr>
      </w:pPr>
      <w:r>
        <w:rPr>
          <w:rFonts w:hint="eastAsia" w:ascii="方正小标宋简体" w:hAnsi="华文中宋" w:eastAsia="方正小标宋简体" w:cs="华文中宋"/>
          <w:color w:val="auto"/>
          <w:sz w:val="44"/>
          <w:szCs w:val="44"/>
        </w:rPr>
        <w:t>（省级层面设定事项）</w:t>
      </w:r>
    </w:p>
    <w:p>
      <w:pPr>
        <w:pStyle w:val="2"/>
        <w:spacing w:line="320" w:lineRule="exact"/>
        <w:rPr>
          <w:rFonts w:hint="eastAsia"/>
          <w:color w:val="auto"/>
        </w:rPr>
      </w:pPr>
    </w:p>
    <w:tbl>
      <w:tblPr>
        <w:tblW w:w="138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6"/>
        <w:gridCol w:w="586"/>
        <w:gridCol w:w="818"/>
        <w:gridCol w:w="900"/>
        <w:gridCol w:w="941"/>
        <w:gridCol w:w="955"/>
        <w:gridCol w:w="914"/>
        <w:gridCol w:w="613"/>
        <w:gridCol w:w="587"/>
        <w:gridCol w:w="545"/>
        <w:gridCol w:w="573"/>
        <w:gridCol w:w="2877"/>
        <w:gridCol w:w="3000"/>
      </w:tblGrid>
      <w:tr>
        <w:trPr>
          <w:cantSplit/>
          <w:trHeight w:val="333" w:hRule="atLeast"/>
          <w:tblHeader/>
          <w:jc w:val="center"/>
        </w:trPr>
        <w:tc>
          <w:tcPr>
            <w:tcW w:w="546"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818"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318"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8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0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rPr>
          <w:cantSplit/>
          <w:trHeight w:val="930" w:hRule="atLeast"/>
          <w:tblHeader/>
          <w:jc w:val="center"/>
        </w:trPr>
        <w:tc>
          <w:tcPr>
            <w:tcW w:w="546" w:type="dxa"/>
            <w:vMerge w:val="continue"/>
            <w:tcBorders>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b/>
                <w:bCs/>
                <w:color w:val="auto"/>
                <w:kern w:val="0"/>
                <w:sz w:val="18"/>
                <w:szCs w:val="18"/>
              </w:rPr>
            </w:pPr>
          </w:p>
        </w:tc>
        <w:tc>
          <w:tcPr>
            <w:tcW w:w="58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818"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61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7"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45"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7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8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黑体" w:hAnsi="黑体" w:eastAsia="黑体"/>
                <w:b/>
                <w:bCs/>
                <w:color w:val="auto"/>
                <w:kern w:val="0"/>
                <w:sz w:val="18"/>
                <w:szCs w:val="18"/>
              </w:rPr>
            </w:pPr>
          </w:p>
        </w:tc>
        <w:tc>
          <w:tcPr>
            <w:tcW w:w="3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rPr>
          <w:cantSplit/>
          <w:trHeight w:val="2711"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省市场监管局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【地方性法规】《山西省食品小作坊小经营店小摊点管理条例》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县（区）市场监管或行政审批部门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待取得山西省人大常委会授权调整适用《山西省食品小作坊小经营店小摊点管理条例》后，由审批改为备案。</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1.严格执行法律法规标准，开展“双随机、一公开”监管，发现违法违规行为要依法查处并公布结果。2.加强信用监管，向社会公布食品生产企业信用状况，对失信主体开展联合惩戒。</w:t>
            </w:r>
          </w:p>
        </w:tc>
      </w:tr>
      <w:tr>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2</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【地方性法规】《山西省安全技术防范条例》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p>
            <w:pPr>
              <w:widowControl/>
              <w:spacing w:line="320" w:lineRule="exact"/>
              <w:textAlignment w:val="center"/>
              <w:rPr>
                <w:rFonts w:hint="eastAsia" w:ascii="Times New Roman" w:hAnsi="Times New Roman" w:eastAsia="仿宋_GB2312"/>
                <w:color w:val="auto"/>
                <w:kern w:val="0"/>
                <w:sz w:val="18"/>
                <w:szCs w:val="18"/>
              </w:rPr>
            </w:pPr>
            <w:r>
              <w:rPr>
                <w:rFonts w:ascii="Times New Roman" w:hAnsi="Times New Roman" w:eastAsia="仿宋_GB2312"/>
                <w:color w:val="auto"/>
                <w:kern w:val="0"/>
                <w:sz w:val="18"/>
                <w:szCs w:val="18"/>
              </w:rPr>
              <w:t>市公安</w:t>
            </w:r>
            <w:r>
              <w:rPr>
                <w:rFonts w:hint="eastAsia" w:ascii="Times New Roman" w:hAnsi="Times New Roman" w:eastAsia="仿宋_GB2312"/>
                <w:color w:val="auto"/>
                <w:kern w:val="0"/>
                <w:sz w:val="18"/>
                <w:szCs w:val="18"/>
              </w:rPr>
              <w:t>局</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取消该项许可审批。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全面落实“双随机、一公开”监管、跨部门联合监管和“互联网+监管”。2.强化社会信用监督，建立统一的“黑名单”制度，对失信主体在行业准入环节依法实施限制或禁入。3.发挥社会监督作用，引导社会力量参与市场秩序治理，共同推进联合惩戒等市场禁入措施落到实处。</w:t>
            </w:r>
          </w:p>
        </w:tc>
      </w:tr>
      <w:tr>
        <w:trPr>
          <w:cantSplit/>
          <w:trHeight w:val="3538"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3</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【地方性法规】《山西省实施&lt;中华人民共和国野生动物保护法&gt;办法》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市规划和自然资源局；县（区）规划和自然资源或行政审批部门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p>
            <w:pPr>
              <w:widowControl/>
              <w:spacing w:line="320" w:lineRule="exact"/>
              <w:textAlignment w:val="center"/>
              <w:rPr>
                <w:rFonts w:ascii="Times New Roman" w:hAnsi="Times New Roman" w:eastAsia="仿宋_GB2312"/>
                <w:color w:val="auto"/>
                <w:kern w:val="0"/>
                <w:sz w:val="18"/>
                <w:szCs w:val="18"/>
              </w:rPr>
            </w:pP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省级重点保护、“三有”陆生野生动物人工繁育机构实施日常管理，发现违法违规行为要依法查处并向社会公开查处结果。2.依法对省级重点保护、“三有”陆生野生动物人工繁育活动进行监管，指导有关人工繁育机构提升业务能力和管理水平。</w:t>
            </w:r>
          </w:p>
        </w:tc>
      </w:tr>
      <w:tr>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4</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w:t>
            </w:r>
            <w:r>
              <w:rPr>
                <w:rFonts w:hint="eastAsia" w:ascii="Times New Roman" w:hAnsi="Times New Roman"/>
                <w:color w:val="auto"/>
                <w:kern w:val="0"/>
                <w:sz w:val="18"/>
                <w:szCs w:val="18"/>
                <w:lang w:val="en-US" w:eastAsia="zh-CN"/>
              </w:rPr>
              <w:t>&lt;</w:t>
            </w:r>
            <w:r>
              <w:rPr>
                <w:rFonts w:ascii="Times New Roman" w:hAnsi="Times New Roman" w:eastAsia="仿宋_GB2312"/>
                <w:color w:val="auto"/>
                <w:kern w:val="0"/>
                <w:sz w:val="18"/>
                <w:szCs w:val="18"/>
              </w:rPr>
              <w:t>中华人民共和国野生动物保护法</w:t>
            </w:r>
            <w:r>
              <w:rPr>
                <w:rFonts w:hint="eastAsia" w:ascii="Times New Roman" w:hAnsi="Times New Roman"/>
                <w:color w:val="auto"/>
                <w:kern w:val="0"/>
                <w:sz w:val="18"/>
                <w:szCs w:val="18"/>
                <w:lang w:eastAsia="zh-CN"/>
              </w:rPr>
              <w:t>&gt;</w:t>
            </w:r>
            <w:r>
              <w:rPr>
                <w:rFonts w:ascii="Times New Roman" w:hAnsi="Times New Roman" w:eastAsia="仿宋_GB2312"/>
                <w:color w:val="auto"/>
                <w:kern w:val="0"/>
                <w:sz w:val="18"/>
                <w:szCs w:val="18"/>
              </w:rPr>
              <w: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非重点保护野生动物人工繁育机构实施日常管理，发现违法违规行为要依法查处并向社会公开查处结果。2.依法对非重点保护野生动物人工繁育活动进行监管，指导有关人工繁育机构提升业务能力和管理水平。</w:t>
            </w:r>
          </w:p>
        </w:tc>
      </w:tr>
    </w:tbl>
    <w:p>
      <w:pPr>
        <w:pStyle w:val="2"/>
        <w:tabs>
          <w:tab w:val="left" w:pos="2525"/>
        </w:tabs>
        <w:ind w:left="0" w:leftChars="0" w:firstLine="0" w:firstLineChars="0"/>
        <w:jc w:val="left"/>
        <w:rPr>
          <w:rFonts w:hint="eastAsia" w:ascii="Calibri" w:hAnsi="Calibri"/>
          <w:color w:val="000000"/>
          <w:szCs w:val="32"/>
        </w:rPr>
      </w:pPr>
      <w:r>
        <w:rPr>
          <w:rFonts w:hint="eastAsia"/>
          <w:szCs w:val="32"/>
          <w:lang w:eastAsia="zh-CN"/>
        </w:rPr>
        <w:tab/>
      </w:r>
    </w:p>
    <w:sectPr>
      <w:headerReference r:id="rId4" w:type="default"/>
      <w:footerReference r:id="rId6" w:type="default"/>
      <w:headerReference r:id="rId5" w:type="even"/>
      <w:footerReference r:id="rId7" w:type="even"/>
      <w:pgSz w:w="16838" w:h="11906" w:orient="landscape"/>
      <w:pgMar w:top="1588" w:right="2098" w:bottom="1474" w:left="1985" w:header="851" w:footer="1191" w:gutter="0"/>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altName w:val="Calibri"/>
    <w:panose1 w:val="020F0302020204030204"/>
    <w:charset w:val="00"/>
    <w:family w:val="auto"/>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Calibri" w:hAnsi="Calibri" w:eastAsia="仿宋_GB2312" w:cs="Times New Roman"/>
        <w:kern w:val="0"/>
        <w:sz w:val="18"/>
        <w:szCs w:val="18"/>
        <w:lang w:val="zh-CN" w:eastAsia="zh-CN" w:bidi="ar-SA"/>
      </w:rPr>
      <w:pict>
        <v:shape id="_x0000_s3073" o:spid="_x0000_s1025" type="#_x0000_t202" style="position:absolute;left:0;margin-left:393.2pt;margin-top:-25.35pt;height:144pt;width:144pt;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spacing w:beforeLines="50" w:afterLines="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beforeLines="50" w:afterLines="50"/>
      <w:rPr>
        <w:rFonts w:hint="eastAsia" w:ascii="宋体" w:hAnsi="宋体" w:eastAsia="宋体" w:cs="宋体"/>
        <w:sz w:val="28"/>
        <w:szCs w:val="28"/>
      </w:rPr>
    </w:pPr>
    <w:r>
      <w:rPr>
        <w:rFonts w:hint="eastAsia" w:ascii="宋体" w:hAnsi="宋体" w:eastAsia="宋体" w:cs="宋体"/>
        <w:kern w:val="0"/>
        <w:sz w:val="28"/>
        <w:szCs w:val="28"/>
        <w:lang w:val="zh-CN" w:eastAsia="zh-CN" w:bidi="ar-SA"/>
      </w:rPr>
      <w:pict>
        <v:shape id="_x0000_s3074" o:spid="_x0000_s1026" type="#_x0000_t202" style="position:absolute;left:0;margin-top:-1.3pt;height:144pt;width:144pt;mso-position-horizontal:outside;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evenAndOddHeaders w:val="1"/>
  <w:drawingGridHorizontalSpacing w:val="162"/>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6">
    <w:name w:val="Default Paragraph Font"/>
    <w:semiHidden/>
    <w:qFormat/>
    <w:uiPriority w:val="0"/>
  </w:style>
  <w:style w:type="paragraph" w:customStyle="1" w:styleId="2">
    <w:name w:val="引文目录1"/>
    <w:basedOn w:val="1"/>
    <w:next w:val="1"/>
    <w:qFormat/>
    <w:uiPriority w:val="0"/>
    <w:pPr>
      <w:ind w:left="420" w:leftChars="200"/>
    </w:pPr>
    <w:rPr>
      <w:rFonts w:eastAsia="宋体"/>
      <w:sz w:val="32"/>
      <w:szCs w:val="32"/>
    </w:rPr>
  </w:style>
  <w:style w:type="paragraph" w:styleId="3">
    <w:name w:val="footer"/>
    <w:basedOn w:val="1"/>
    <w:link w:val="8"/>
    <w:qFormat/>
    <w:uiPriority w:val="0"/>
    <w:pPr>
      <w:tabs>
        <w:tab w:val="center" w:pos="4153"/>
        <w:tab w:val="right" w:pos="8306"/>
      </w:tabs>
      <w:snapToGrid w:val="0"/>
      <w:jc w:val="left"/>
    </w:pPr>
    <w:rPr>
      <w:kern w:val="0"/>
      <w:sz w:val="18"/>
      <w:szCs w:val="18"/>
      <w:lang w:val="zh-CN" w:eastAsia="zh-CN"/>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paragraph" w:styleId="5">
    <w:name w:val="Title"/>
    <w:basedOn w:val="1"/>
    <w:next w:val="1"/>
    <w:link w:val="9"/>
    <w:qFormat/>
    <w:uiPriority w:val="0"/>
    <w:pPr>
      <w:spacing w:before="240" w:after="60"/>
      <w:jc w:val="center"/>
      <w:outlineLvl w:val="0"/>
    </w:pPr>
    <w:rPr>
      <w:rFonts w:ascii="Calibri Light" w:hAnsi="Calibri Light"/>
      <w:b/>
      <w:bCs/>
      <w:szCs w:val="32"/>
    </w:rPr>
  </w:style>
  <w:style w:type="character" w:customStyle="1" w:styleId="7">
    <w:name w:val="页眉 字符"/>
    <w:link w:val="4"/>
    <w:uiPriority w:val="99"/>
    <w:rPr>
      <w:sz w:val="18"/>
      <w:szCs w:val="18"/>
    </w:rPr>
  </w:style>
  <w:style w:type="character" w:customStyle="1" w:styleId="8">
    <w:name w:val="页脚 字符"/>
    <w:link w:val="3"/>
    <w:uiPriority w:val="99"/>
    <w:rPr>
      <w:sz w:val="18"/>
      <w:szCs w:val="18"/>
    </w:rPr>
  </w:style>
  <w:style w:type="character" w:customStyle="1" w:styleId="9">
    <w:name w:val="标题 字符"/>
    <w:link w:val="5"/>
    <w:uiPriority w:val="10"/>
    <w:rPr>
      <w:rFonts w:ascii="Calibri Light" w:hAnsi="Calibri Light" w:cs="Times New Roman"/>
      <w:b/>
      <w:bCs/>
      <w:kern w:val="2"/>
      <w:sz w:val="32"/>
      <w:szCs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Info spid="_x0000_s1026" textRotate="1"/>
    <customShpInfo spid="_x0000_s1028" textRotate="1"/>
    <customShpInfo spid="_x0000_s1029" textRotate="1"/>
    <customShpInfo spid="_x0000_s103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216</Pages>
  <Words>118766</Words>
  <Characters>121895</Characters>
  <Lines>917</Lines>
  <Paragraphs>258</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2022-06-30T23:53:00Z</dcterms:created>
  <dc:creator>Administrator</dc:creator>
  <cp:lastModifiedBy>芦佳乐</cp:lastModifiedBy>
  <cp:lastPrinted>2018-08-03T02:40:00Z</cp:lastPrinted>
  <dcterms:modified xsi:type="dcterms:W3CDTF">2022-09-22T02:17:19Z</dcterms:modified>
  <dc:title>长治市人民政府</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410EC71ED9D044EA9FF309A2E10E5E60</vt:lpwstr>
  </property>
</Properties>
</file>