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00" w:lineRule="exact"/>
        <w:rPr>
          <w:rFonts w:hint="eastAsia" w:ascii="黑体" w:hAnsi="黑体" w:eastAsia="黑体"/>
          <w:color w:val="auto"/>
          <w:sz w:val="32"/>
          <w:szCs w:val="32"/>
        </w:rPr>
      </w:pPr>
      <w:r>
        <w:rPr>
          <w:rFonts w:hint="eastAsia" w:ascii="黑体" w:hAnsi="黑体" w:eastAsia="黑体"/>
          <w:color w:val="auto"/>
          <w:sz w:val="32"/>
          <w:szCs w:val="32"/>
        </w:rPr>
        <w:t>附件</w:t>
      </w:r>
    </w:p>
    <w:p>
      <w:pPr>
        <w:spacing w:line="50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长治市“证照分离”改革事项清单（2022年版）</w:t>
      </w:r>
    </w:p>
    <w:p>
      <w:pPr>
        <w:spacing w:line="200" w:lineRule="exact"/>
        <w:rPr>
          <w:rFonts w:ascii="楷体_GB2312" w:eastAsia="楷体_GB2312"/>
          <w:color w:val="auto"/>
          <w:sz w:val="32"/>
          <w:szCs w:val="32"/>
        </w:rPr>
      </w:pPr>
    </w:p>
    <w:tbl>
      <w:tblPr>
        <w:tblW w:w="138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7"/>
        <w:gridCol w:w="587"/>
        <w:gridCol w:w="763"/>
        <w:gridCol w:w="914"/>
        <w:gridCol w:w="941"/>
        <w:gridCol w:w="954"/>
        <w:gridCol w:w="901"/>
        <w:gridCol w:w="627"/>
        <w:gridCol w:w="586"/>
        <w:gridCol w:w="532"/>
        <w:gridCol w:w="545"/>
        <w:gridCol w:w="2496"/>
        <w:gridCol w:w="3454"/>
      </w:tblGrid>
      <w:tr>
        <w:trPr>
          <w:cantSplit/>
          <w:trHeight w:val="334" w:hRule="atLeast"/>
          <w:tblHeader/>
          <w:jc w:val="center"/>
        </w:trPr>
        <w:tc>
          <w:tcPr>
            <w:tcW w:w="567" w:type="dxa"/>
            <w:vMerge w:val="restart"/>
            <w:tcBorders>
              <w:top w:val="single" w:color="auto" w:sz="4" w:space="0"/>
              <w:left w:val="single" w:color="auto" w:sz="4" w:space="0"/>
              <w:bottom w:val="single" w:color="auto" w:sz="4" w:space="0"/>
              <w:right w:val="single" w:color="auto" w:sz="4" w:space="0"/>
            </w:tcBorders>
            <w:vAlign w:val="center"/>
          </w:tcPr>
          <w:p>
            <w:pPr>
              <w:tabs>
                <w:tab w:val="left" w:pos="213"/>
              </w:tabs>
              <w:adjustRightInd w:val="0"/>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763"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0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290" w:type="dxa"/>
            <w:gridSpan w:val="4"/>
            <w:tcBorders>
              <w:top w:val="single" w:color="auto" w:sz="4" w:space="0"/>
              <w:left w:val="nil"/>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49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45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rPr>
          <w:cantSplit/>
          <w:trHeight w:val="334" w:hRule="atLeast"/>
          <w:tblHeader/>
          <w:jc w:val="center"/>
        </w:trPr>
        <w:tc>
          <w:tcPr>
            <w:tcW w:w="567" w:type="dxa"/>
            <w:vMerge w:val="continue"/>
            <w:tcBorders>
              <w:top w:val="single" w:color="auto" w:sz="4" w:space="0"/>
              <w:left w:val="single" w:color="auto" w:sz="4" w:space="0"/>
              <w:bottom w:val="single" w:color="auto" w:sz="4" w:space="0"/>
              <w:right w:val="single" w:color="auto" w:sz="4" w:space="0"/>
            </w:tcBorders>
            <w:vAlign w:val="center"/>
          </w:tcPr>
          <w:p>
            <w:pPr>
              <w:tabs>
                <w:tab w:val="left" w:pos="213"/>
              </w:tabs>
              <w:adjustRightInd w:val="0"/>
              <w:jc w:val="center"/>
              <w:rPr>
                <w:rFonts w:ascii="Times New Roman" w:hAnsi="Times New Roman" w:eastAsia="仿宋_GB2312"/>
                <w:b/>
                <w:bCs/>
                <w:color w:val="auto"/>
                <w:kern w:val="0"/>
                <w:sz w:val="18"/>
                <w:szCs w:val="18"/>
              </w:rPr>
            </w:pPr>
          </w:p>
        </w:tc>
        <w:tc>
          <w:tcPr>
            <w:tcW w:w="58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763"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9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b/>
                <w:bCs/>
                <w:color w:val="auto"/>
                <w:kern w:val="0"/>
                <w:sz w:val="18"/>
                <w:szCs w:val="18"/>
              </w:rPr>
            </w:pPr>
          </w:p>
        </w:tc>
        <w:tc>
          <w:tcPr>
            <w:tcW w:w="627"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6"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32"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45" w:type="dxa"/>
            <w:tcBorders>
              <w:top w:val="nil"/>
              <w:left w:val="nil"/>
              <w:bottom w:val="single" w:color="auto" w:sz="4" w:space="0"/>
              <w:right w:val="single" w:color="auto" w:sz="4" w:space="0"/>
            </w:tcBorders>
            <w:vAlign w:val="center"/>
          </w:tcPr>
          <w:p>
            <w:pPr>
              <w:widowControl/>
              <w:spacing w:line="28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49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345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rPr>
          <w:cantSplit/>
          <w:trHeight w:val="31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外商投资经营电信业务（基础电信业务）审批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3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p>
          <w:p>
            <w:pPr>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4" o:spid="_x0000_s1028" type="#_x0000_t202" style="position:absolute;left:0;margin-left:-101.15pt;margin-top:336.4pt;height:144pt;width:144pt;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外商投资经营电信业务（第一类增值电信业务）审批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2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5" o:spid="_x0000_s1029" type="#_x0000_t202" style="position:absolute;left:0;margin-left:-101.15pt;margin-top:618.55pt;height:144pt;width:144pt;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外商投资经营电信业务（第二类增值电信业务）审批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外商投资经营电信业务审定意见书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《外商投资电信企业管理规定》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取消该项许可审批，在办理“电信业务经营许可”时对外商投资电信企业落实股比限制要求情况进行审查把关。</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外商投资电信企业日常经营活动的监测，督促企业按要求报送有关信息。2.开展“双随机、一公开”等监管，发现违法违规行为要依法查处并公开结果。3.加强信用监管，向社会公布电信业务经营不良名单和失信名单，依法依规对失信主体开展失信惩戒。</w:t>
            </w:r>
          </w:p>
        </w:tc>
      </w:tr>
      <w:tr>
        <w:trPr>
          <w:cantSplit/>
          <w:trHeight w:val="4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取消初审环节，将该项许可由省工信厅初审、工业和信息化部审批，调整为省工信厅直接审批。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省地方金融监管局在实施“设立典当行及分支机构审批”后及时将有关信息推送至公安机关，公安机关及时将典当行及其分支机构纳入监管范围。2.开展“双随机、一公开”监管，发现违法违规行为要依法查处并公开结果。</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将城乡规划编制单位的资质由三级调整为两级，取消丙级资质，相应调整乙级资质的许可条件。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w:t>
            </w:r>
          </w:p>
        </w:tc>
      </w:tr>
      <w:tr>
        <w:trPr>
          <w:cantSplit/>
          <w:trHeight w:val="26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p>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Calibri" w:hAnsi="Calibri" w:eastAsia="仿宋_GB2312" w:cs="Times New Roman"/>
                <w:color w:val="auto"/>
                <w:kern w:val="2"/>
                <w:sz w:val="32"/>
                <w:szCs w:val="22"/>
                <w:lang w:val="en-US" w:eastAsia="zh-CN" w:bidi="ar-SA"/>
              </w:rPr>
              <w:pict>
                <v:shape id="_x0000_s2106" o:spid="_x0000_s1030" type="#_x0000_t202" style="position:absolute;left:0;margin-left:-101.15pt;margin-top:314.4pt;height:144pt;width:144pt;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仿宋" w:hAnsi="仿宋" w:eastAsia="仿宋" w:cs="仿宋"/>
                <w:color w:val="auto"/>
                <w:kern w:val="0"/>
                <w:sz w:val="18"/>
                <w:szCs w:val="18"/>
              </w:rPr>
              <w:t>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将地质灾害危险性评估单位的资质由三级调整为两级，取消丙级资质，相应调整乙级资质的许可条件。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将地质灾害治理工程勘查单位的资质由三级调整为两级，取消丙级资质，相应调整乙级资质的许可条件。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将地质灾害治理工程设计单位的资质由三级调整为两级，取消丙级资质，相应调整乙级资质的许可条件。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将地质灾害治理工程施工单位的资质由三级调整为两级，取消丙级资质，相应调整乙级资质的许可条件。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将地质灾害治理工程监理单位的资质由三级调整为两级，取消丙级资质，相应调整乙级资质的许可条件。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从事测绘活动的单位丁级资质审批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将从事测绘活动的单位资质由四级调整为两级，取消丁级资质，相应调整乙级资质的许可条件。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通过投诉举报等渠道反映问题多的测绘单位实施重点监管。3.加强信用监管，依法向社会公布测绘单位信用状况，依法依规对失信主体开展失信惩戒。</w:t>
            </w:r>
          </w:p>
        </w:tc>
      </w:tr>
      <w:tr>
        <w:trPr>
          <w:cantSplit/>
          <w:trHeight w:val="24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放射性污染监测机构资质认定（省级权限）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取消省生态环境厅实施的该项许可审批，从事放射性污染监测的机构可向生态环境部申请办理资质认定。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虚假承诺或严重不实的要依法处理。2.依法依规建立失信惩戒及信用共享机制，依法向社会公布监测机构信用状况，依法依规对失信主体开展失信惩戒，将相关信息纳入全国信用信息共享平台。3.推动企业信息公开，加强社会监督。</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rPr>
          <w:cantSplit/>
          <w:trHeight w:val="24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工程造价咨询企业乙级资质证书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取消该项资质认定。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完善工程造价咨询企业信用体系，依法向社会公布企业信用状况，依法依规开展失信惩戒。3.推广应用职业保险制度，增强工程造价咨询企业的风险抵御能力，有效保障委托方合法权益。</w:t>
            </w:r>
          </w:p>
        </w:tc>
      </w:tr>
      <w:tr>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房地产开发企业三级资质核定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将房地产开发企业资质由四级调整为两级，取消三级资质，相应调整二级资质的许可条件。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房地产开发企业四级资质核定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省住建部门；市行政审批局；县（区）住建或行政审批部门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将房地产开发企业资质由四级调整为两级，取消四级资质，相应调整二级资质的许可条件。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将建设工程勘察企业资质由三级调整为两级，取消丙级资质，相应调整乙级资质的许可条件。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1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工程设计企业资质认定（丙级、丁级）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将工程设计企业资质由三级或者四级调整为两级，取消丙级、丁级资质，相应调整乙级资质的许可条件。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3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施工企业资质认定（三级）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将施工企业资质由三级调整为两级，取消三级资质，相应调整二级资质的许可条件。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工程监理企业资质认定（丙级，事务所，公路、水利水电、港口与航道、农林工程专业资质）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1.将工程监理企业资质由三级调整为两级，取消丙级资质，相应调整乙级资质的许可条件。2.取消住房城乡建设部门审批的监理事务所资质和公路、水利水电、港口与航道、农林工程专业监理资质。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取消省交通厅实施的该项审批（初审），申请人直接向交通运输部提出申请。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建立信用档案并依法向社会公开信用记录，依法依规对失信主体开展失信惩戒。4.发挥行业协会自律作用。</w:t>
            </w:r>
          </w:p>
        </w:tc>
      </w:tr>
      <w:tr>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取消省交通厅实施的该项许可（初审），申请人直接向交通运输部提出申请。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交通运输部实施的“从事大陆与台湾间海上运输业务许可”，对原初审审查事项进行审核。2.开展“双随机、一公开”监管，发现违法违规行为要依法查处并公开结果。3.加强信用监管，建立有关海运企业信用档案并依法向社会公开信用记录，依法依规对失信主体开展失信惩戒。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将水运工程监理企业资质由三级调整为两级，取消丙级资质，相应调整乙级资质的许可条件。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1.加强市场检查，开展“双随机、一公开”监管</w:t>
            </w:r>
            <w:bookmarkStart w:id="0" w:name="_GoBack"/>
            <w:bookmarkEnd w:id="0"/>
            <w:r>
              <w:rPr>
                <w:rFonts w:hint="eastAsia" w:ascii="仿宋" w:hAnsi="仿宋" w:eastAsia="仿宋" w:cs="仿宋"/>
                <w:color w:val="auto"/>
                <w:kern w:val="0"/>
                <w:sz w:val="18"/>
                <w:szCs w:val="18"/>
              </w:rPr>
              <w:t>，发现违法违规行为要依法查处并公开结果。2.强化信用监管，加强相关信用信息在工程招标投标、企业资质审核等方面的应用。3.充分利用信息化手段加强社会监督，通过全国水运建设市场信用信息管理系统公示企业业绩、人员资格等信息，接受社会监督。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将公路工程监理企业资质由三级调整为两级，取消丙级资质，相应调整乙级资质的许可条件。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2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将水利工程建设监理单位资质由三级调整为两级，取消丙级资质，将乙级资质的许可条件调整为目前丙级资质的许可条件。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拖拉机驾驶培训学校、驾驶培训班资格认定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拖拉机驾驶培训许可证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培训环节强化驾驶员安全教育。2.加强教练员队伍建设和管理，推动拖拉机培训机构建立培训记录、提高培训水平。3.严把拖拉机驾驶证件考试关口，严肃考试纪律，确保持证人员掌握驾驶技能和道路安全法规知识。4.农业农村部门、公安机关依照法定职责加强对拖拉机的驾驶安全管理，依法查处违规驾驶行为。</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进出口农作物种子（苗）审批（初审）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取消省农业农村厅实施的该项审批（初审），申请人直接向农业农村部提出申请。</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18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外商投资农作物新品种选育和种子生产经营审批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取消该项许可审批，与“农作物种子生产经营（外商投资企业）许可证核发”合并办理。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转基因棉花种子生产经营许可证核发（初审）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取消省农业农村厅实施的该项可证核发（初审），申请人直接向农业农村部提出申请。</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取消省农业农村厅实施的该项初审，申请人直接向农业农村部提出申请。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15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水产良种场的水产苗种生产许可证核发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不再保留水产良种场类别，原有良种场纳入一般水产苗种场管理，不再实施特别的管理措施。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5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石油成品油批发经营资格审批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原油销售经营批准证书、成品油批发经营批准证书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56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石油成品油仓储经营资格审批（初审）</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取消省商务厅实施的该项许可审批。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731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w:t>
            </w:r>
          </w:p>
        </w:tc>
        <w:tc>
          <w:tcPr>
            <w:tcW w:w="587"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石油成品油仓储经营资格审批</w:t>
            </w:r>
          </w:p>
        </w:tc>
        <w:tc>
          <w:tcPr>
            <w:tcW w:w="94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原油仓储经营批准证书、成品油仓储经营批准证书</w:t>
            </w:r>
          </w:p>
        </w:tc>
        <w:tc>
          <w:tcPr>
            <w:tcW w:w="954"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商务部门严格落实行业监管职责。要求有关企业建立购销和出入库台账制度。开展“双随机、一公开”监管、信用监管，发现违法违规行为要依法处理或者提请有关部门予以查处。2.严格落实属地监管职责。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val="en-US" w:eastAsia="zh-CN"/>
              </w:rPr>
              <w:t>登记</w:t>
            </w:r>
            <w:r>
              <w:rPr>
                <w:rFonts w:hint="eastAsia" w:ascii="仿宋" w:hAnsi="仿宋" w:eastAsia="仿宋" w:cs="仿宋"/>
                <w:color w:val="auto"/>
                <w:kern w:val="0"/>
                <w:sz w:val="18"/>
                <w:szCs w:val="18"/>
              </w:rPr>
              <w:t>部门要将新登记经营范围涉及石油成品油批发、仓储的企业信息推送至有关部门。商务部门要将改革前取得许可的石油成品油批发、仓储企业信息，以及发现的超经营范围经营或者无照经营信息推送至有关部门。有关部门要充分运用共享信息，加强监管执法。</w:t>
            </w:r>
          </w:p>
        </w:tc>
      </w:tr>
      <w:tr>
        <w:trPr>
          <w:cantSplit/>
          <w:trHeight w:val="3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开办诊所不再向卫生健康部门申办设置审批，直接办理诊所执业备案。</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医疗服务监管信息系统，要求诊所将诊疗信息及时上传信息系统。2.加强监督管理，根据相关管理规定，发现问题依法严肃处理。3.将诊所执业状况记入诊所主要负责人个人诚信记录，强化信用约束。4.向社会公开诊所有关信息和医师、护士注册信息，加强行业自律和社会监督。</w:t>
            </w:r>
          </w:p>
        </w:tc>
      </w:tr>
      <w:tr>
        <w:trPr>
          <w:cantSplit/>
          <w:trHeight w:val="4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取消该项许可审批，纳入“母婴保健专项技术服务许可”进行统一审批管理。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1.加强监督管理，发现违法违规行为要依法查处并公开结果。2.加强信用监管，将计划生育技术服务机构执业状况记入信用记录并依法向社会公布。3.依法及时处理投诉举报。</w:t>
            </w:r>
          </w:p>
        </w:tc>
      </w:tr>
      <w:tr>
        <w:trPr>
          <w:cantSplit/>
          <w:trHeight w:val="73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部分医疗机构（除三级医院、三级妇幼保健院、急救中心、急救站、临床检验中心、中外合资合作医疗机构、港澳台独资医疗机构外）《设置医疗机构批准书》核发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除三级医院、三级妇幼保健院、急救中心、急救站、临床检验中心、中外合资合作医疗机构、港澳台独资医疗机构外，举办其他医疗机构，不再申请办理《设置医疗机构批准书》，在执业登记时发放《医疗机构执业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16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职业卫生技术服务机构甲级资质认可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1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将职业卫生技术服务机构的资质由三级调整为一级，明确由省卫健委负责审批，执业地域范围明确为全国。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9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消防技术服务机构资质证书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取消该项资质审批。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引导加强行业自律、规范从业行为、落实主体责任。2.加强对从业行为的监督抽查，对不具备从业条件、弄虚作假等违法违规行为要依法查处。3.对投诉举报多的机构实施重点监管。4.对造成人员死亡或重大社会影响的火灾，倒查中介服务机构主体责任，依法严肃查处。</w:t>
            </w:r>
          </w:p>
        </w:tc>
      </w:tr>
      <w:tr>
        <w:trPr>
          <w:cantSplit/>
          <w:trHeight w:val="209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银行间债券市场做市商审批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52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进出口商品检验鉴定业务的检验许可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进出口商品检验鉴定机构资格证书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市场监管总局根据海关总署关于进出口商品检验机构的特别准入要求，拟定检验检测机构（进出口商品检验领域）资质准入的特别条件。新增、变更业务范围的检验检测机构（进出口商品检验领域）或续期的进出口商品检验机构直接向市场监管部门申请办理有关许可，市场监管部门审批时征求海关总署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检验检测机构（进出口商品检验领域）的还要及时推送至海关。2.海关依法对检验检测机构（进出口商品检验领域）检验检测活动进行监管，指导有关检验检测机构提升业务能力和管理水平。在海关日常监管中，发现违法违规行为要依法查处并向社会公开结果，及时通报有关市场监管部门。3.市场监管部门会同海关推进跨部门联合监管，减轻企业监管负担。</w:t>
            </w:r>
          </w:p>
        </w:tc>
      </w:tr>
      <w:tr>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从事强制性认证以及相关活动的检查机构指定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由从事强制性认证活动的认证机构对工厂检查结果及认证结论负责。2.开展“双随机、一公开”监管，发现认证机构或其委托的检查机构在工厂检查过程中存在违法行为或出具虚假检查报告的，依法严肃查处。3.将认证机构和检查机构纳入信用监管范围，依法依规建立工厂检查员黑名单制度，依法向社会公开信用记录。4.督促认可机构加强认可管理。5.发挥行业协会自律作用。</w:t>
            </w:r>
          </w:p>
        </w:tc>
      </w:tr>
      <w:tr>
        <w:trPr>
          <w:cantSplit/>
          <w:trHeight w:val="19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广告发布登记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关于准予广告发布登记的通知书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《中华人民共和国广告法》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1.加大广告监测力度，发现广告发布机构发布虚假违法广告要依法查处。2.加强协同监管，联合有关部门共同做好广告发布机构监管工作。</w:t>
            </w:r>
          </w:p>
        </w:tc>
      </w:tr>
      <w:tr>
        <w:trPr>
          <w:cantSplit/>
          <w:trHeight w:val="2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取消省广电局实施的该项许可审批，申请人直接向广电总局提出申请。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160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中央储备粮代储企业资格认定证书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《中央储备粮管理条例》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取消该项许可审批，中央储备粮由中国储备粮管理集团有限公司直属企业承储。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1.通过“双随机、一公开”监管、重点监管等方式，依法查处违法行为。2.加强信用监管，依法向社会公布企业信用状况，依法依规对失信主体开展失信惩戒。</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第二类武器装备科研生产许可（初审）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取消省国防科工局实施的该项许可审批，申请人直接向国家国防科工局提出申请。</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跨部门联合监管等，发现问题及时依法处理。2.依法及时处理投诉举报。3.强化信用约束，对弄虚作假、提供假冒伪劣产品等严重失信的企事业单位，依法依规将其列入失信黑名单并通报。4.强化属地管理，省国防科工局对本行政区域内从事生产活动的单位加强监管。</w:t>
            </w:r>
          </w:p>
        </w:tc>
      </w:tr>
      <w:tr>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三级国防计量技术机构设置审批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将国防计量技术机构资质由三级调整为两级，将二级资质的许可条件调整为目前三级资质的许可条件。</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rPr>
          <w:cantSplit/>
          <w:trHeight w:val="2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在草原上开展经营性旅游活动审批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草原作业许可证（草原经营性旅游活动）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《中华人民共和国草原法》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开展“双随机、一公开”监管，在草原征占用行为监管过程中，一并对有关经营性旅游活动进行检查，发现违法违规行为要依法查处并公开结果。</w:t>
            </w:r>
          </w:p>
        </w:tc>
      </w:tr>
      <w:tr>
        <w:trPr>
          <w:cantSplit/>
          <w:trHeight w:val="20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林草种子（林木良种苗木）生产经营许可证核发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不再保留林木良种苗木类别，原有林木良种苗木纳入一般林木种苗管理，不再实施特别的管理措施。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rPr>
          <w:cantSplit/>
          <w:trHeight w:val="23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林草种子（选育生产经营相结合单位）生产经营许可证核发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不再保留林草种子选育生产经营相结合单位类别，原有单位纳入一般林草种子生产经营企业管理，不再实施特别的管理措施。</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1.开展“双随机、一公开”监管，发现违法违规行为要依法查处并公开结果。2.加强信用监管，建立企业信用档案并依法公开，依法依规对失信单位和个人开展失信惩戒。3.发挥行业协会自律作用。</w:t>
            </w:r>
          </w:p>
        </w:tc>
      </w:tr>
      <w:tr>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林草种子质量检验机构资质考核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林草种子质量检验机构资质证书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草种子质量检验机构的特别准入要求。新增或续期的林草种子质量检验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木种子质量检验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rPr>
          <w:cantSplit/>
          <w:trHeight w:val="3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林业质检机构资质审查认可授权证书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《中华人民共和国标准化法实施条例》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市场监管总局规定或调整检验检测机构准入条件时，要征求国家林草局意见，体现林草部门关于林业质检机构的特别准入要求。新增或续期的林业质检机构直接向市场监管部门申请办理有关许可，市场监管部门审批时征求同级林草部门意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市场监管部门通过“双随机、一公开”监管、重点监管、信用监管等方式，对检验检测机构实施日常管理，发现违法违规行为要依法查处并向社会公开结果，涉及林业质检机构的还要及时推送至同级林草部门。2.林草部门依法委托有关检验检测机构从事检验检测活动，并对检验检测活动进行监管，指导有关检验检测机构提升业务能力和管理水平。发现违法违规行为要及时通报有关市场监管部门，有关市场监管部门应当依法查处。</w:t>
            </w:r>
          </w:p>
        </w:tc>
      </w:tr>
      <w:tr>
        <w:trPr>
          <w:cantSplit/>
          <w:trHeight w:val="20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设立国际机场审批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取消民航局该项许可审批，新设国际机场依法办理口岸设置有关手续后无需向民航局申办该项许可。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rPr>
          <w:cantSplit/>
          <w:trHeight w:val="2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经营境内邮政通信业务审批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1.严格执行法律法规的规定，对经营邮政通信业务企业加强监督。2.开展“双随机、一公开”监管，发现违法违规行为要依法查处并公开结果。</w:t>
            </w:r>
          </w:p>
        </w:tc>
      </w:tr>
      <w:tr>
        <w:trPr>
          <w:cantSplit/>
          <w:trHeight w:val="26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将文物保护工程勘察设计资质由三级调整为两级，取消丙级资质，相应调整乙级资质的许可条件。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26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文物保护工程施工三级资质审批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施工单位资质由三级调整为两级，取消三级资质，相应调整二级资质的许可条件。2.对尚未核定公布为文物保护单位的不可移动文物的保养维护工程、抢险加固工程、修缮工程，取消对施工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文物保护工程监理单位资质由三级调整为两级，取消丙级资质，相应调整乙级资质的许可条件。2.对尚未核定公布为文物保护单位的不可移动文物的保养维护工程、抢险加固工程、修缮工程，取消对监理单位资质的限定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1.依法及时处理投诉举报。2.加强对文物保护工程实施单位的日常监督管理，针对发现的普遍性和突出问题开展专项检查。</w:t>
            </w:r>
          </w:p>
        </w:tc>
      </w:tr>
      <w:tr>
        <w:trPr>
          <w:cantSplit/>
          <w:trHeight w:val="19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药品委托生产批件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rPr>
          <w:cantSplit/>
          <w:trHeight w:val="2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武器装备科研生产单位三级保密资格证书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将武器装备科研生产单位保密资格由三级调整为两级，取消三级资格，相应优化二级资格的许可条件。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1.开展“双随机、一公开”监管，继续采取飞行检查，完善联动处置机制，发现违规行为要依法查处。2.将监管结果纳入市场主体的社会信用记录，增强保密资格单位的保密意识，提高保密管理水平。</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rPr>
          <w:cantSplit/>
          <w:trHeight w:val="2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人民防空工程设计乙级资质认定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人民防空工程建设设计资质证书（乙级资质）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取消该项许可审批，取得住房城乡建设部门认定的工程设计企业人防工程专业资质即可开展人民防空工程设计。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设计企业的从业行为和服务质量实施“互联网+监管”，针对发现的普遍性问题和突发风险开展专项检查。4.加强信用监管，依法依规构建黑名单制度，并建立相关失信惩戒制度。</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人民防空工程建设监理单位资质等级证书（甲级资质）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人民防空工程监理丙级资质认定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人民防空工程建设监理单位资质等级证书（丙级）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取消该项许可审批，取得住房城乡建设部门认定的工程监理企业相应资质即可开展人民防空工程监理。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对有投诉举报和质量问题的企业实施重点监管。3.对人防监理企业的从业行为和服务质量实施“互联网+监管”，针对发现的普遍性问题和突发风险开展专项检查。4.加强信用监管，依法依规构建黑名单制度，并建立相关失信惩戒制度。</w:t>
            </w:r>
          </w:p>
        </w:tc>
      </w:tr>
      <w:tr>
        <w:trPr>
          <w:cantSplit/>
          <w:trHeight w:val="234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备案内容真实性的核查，发现未依法备案、提供虚假备案材料、不符合法定条件的，依法进行处理。2.开展“双随机、一公开”监管、重点监管，及时处理投诉举报，依法查处违法违规行为。3.加强跨部门联合监管和信用监管，依法依规对失信主体开展失信惩戒。</w:t>
            </w:r>
          </w:p>
        </w:tc>
      </w:tr>
      <w:tr>
        <w:trPr>
          <w:cantSplit/>
          <w:trHeight w:val="22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施工企业资质认定（专业作业）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弄虚作假行为，对弄虚作假的企业依法予以处理。3.加强信用监管，依法依规对失信主体开展失信惩戒。</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机动车驾驶员培训许可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信用管理制度，强化对驾驶培训机构和教练员的信用监管。2.加强与公安、市场监管部门的信息共享，实施跨部门联合监管。3.开展“双随机、一公开”监管，对培训学时造假等违法违规行为依法查处并公开结果。4.严厉打击虚假备案行为，对弄虚作假的培训机构依法处理，情节严重的实行行业禁入。</w:t>
            </w:r>
          </w:p>
        </w:tc>
      </w:tr>
      <w:tr>
        <w:trPr>
          <w:cantSplit/>
          <w:trHeight w:val="2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新农药登记试验批准证书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取消该项许可审批，改为备案管理。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1.开展“双随机、一公开”监管，发现违法违规行为要依法查处。2.根据投诉举报实施重点监管。3.加强信用监管，依法向社会公布新农药登记试验单位信用状况，依法依规对失信主体开展失信惩戒。</w:t>
            </w:r>
          </w:p>
        </w:tc>
      </w:tr>
      <w:tr>
        <w:trPr>
          <w:cantSplit/>
          <w:trHeight w:val="52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肥料登记（大量元素水溶肥料、中量元素水溶肥料、微量元素水溶肥料、农用氯化钾镁、农用硫酸钾镁、复混肥料、掺混肥料）</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对大量元素水溶肥料、中量元素水溶肥料、微量元素水溶肥料、农用氯化钾镁、农用硫酸钾镁、复混肥料、掺混肥料产品，取消许可准入管理，改为备案管理。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rPr>
          <w:cantSplit/>
          <w:trHeight w:val="20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对外贸易经营者备案登记表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省商务部门；市商务局；县（区）商务或行政审批部门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eastAsia="zh-CN"/>
              </w:rPr>
            </w:pPr>
            <w:r>
              <w:rPr>
                <w:rFonts w:hint="eastAsia" w:ascii="仿宋" w:hAnsi="仿宋" w:eastAsia="仿宋" w:cs="仿宋"/>
                <w:color w:val="auto"/>
                <w:kern w:val="0"/>
                <w:sz w:val="18"/>
                <w:szCs w:val="18"/>
              </w:rPr>
              <w:t>实行</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多证合一、一照一码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改革，由企业登记部门将对外贸易经营者备案登记相关信息推送至商务部门，企业不需再到商务部门办理备案登记</w:t>
            </w:r>
            <w:r>
              <w:rPr>
                <w:rFonts w:hint="eastAsia" w:ascii="仿宋" w:hAnsi="仿宋" w:eastAsia="仿宋" w:cs="仿宋"/>
                <w:color w:val="auto"/>
                <w:kern w:val="0"/>
                <w:sz w:val="18"/>
                <w:szCs w:val="18"/>
                <w:lang w:eastAsia="zh-CN"/>
              </w:rPr>
              <w:t>。</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等事中事后监管，发现违法违规行为要依法查处并公开结果，对严重违法违规的企业要依法联合实施市场禁入措施。2.加强信用监管，建立经营主体信用记录，依法依规实施失信惩戒。3.支持行业协会发挥自律作用。</w:t>
            </w:r>
          </w:p>
        </w:tc>
      </w:tr>
      <w:tr>
        <w:trPr>
          <w:cantSplit/>
          <w:trHeight w:val="30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取消对诊所执业的许可准入管理，改为备案管理。</w:t>
            </w:r>
            <w:r>
              <w:rPr>
                <w:rFonts w:hint="eastAsia" w:ascii="仿宋" w:hAnsi="仿宋" w:eastAsia="仿宋" w:cs="仿宋"/>
                <w:color w:val="auto"/>
                <w:kern w:val="0"/>
                <w:sz w:val="18"/>
                <w:szCs w:val="18"/>
              </w:rPr>
              <w:br/>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诊所备案制度，及时将备案诊所纳入医疗质量控制体系。加强对未备案行为的监管。2.完善医疗服务监管信息系统，要求诊所将诊疗信息及时上传信息系统。3.加强监督管理，根据相关管理规定，发现问题依法严肃处理。4.依法将诊所执业状况记入诊所主要负责人个人诚信记录，强化信用约束。5.向社会公开诊所备案信息和医师、护士注册信息，加强行业自律和社会监督。</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报关企业注册登记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中华人民共和国报关单位注册登记证书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直属海关或者其授权的隶属海关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取消对报关企业的许可准入管理，改为备案管理。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1.将报关企业备案纳入“多证合一”范围，在企业登记注册环节一并办理备案手续。2.</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部门将备案信息推送至海关，海关做好对备案信息的核对工作。3.加强信用监管，综合运用稽查、缉私等方面数据，及时调整企业信用等级。4.加强报关企业年报管理。</w:t>
            </w:r>
          </w:p>
        </w:tc>
      </w:tr>
      <w:tr>
        <w:trPr>
          <w:cantSplit/>
          <w:trHeight w:val="21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出口食品生产企业备案证明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取消对出口食品生产企业的许可准入管理，改为备案管理。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出口食品生产企业备案管理系统，利用通关数据校验有关信息。2.强化海关与市场监管等部门之间的信息共享。3.加强信用监管，多渠道完善信用信息采集。4.通过企业年报、现场检查等方式，对出口食品生产企业实施监管。</w:t>
            </w:r>
          </w:p>
        </w:tc>
      </w:tr>
      <w:tr>
        <w:trPr>
          <w:cantSplit/>
          <w:trHeight w:val="31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食品经营许可（仅销售预包装食品）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1.对仅销售预包装食品的企业，取消食品经营许可，改为备案管理。2.将“食品经营备案（仅销售预包装食品）”纳入“多证合一”范围，在企业登记注册环节一并办理备案手续。</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备案企业加强监督检查，重点检查备案信息与实际情况是否相符、备案企业是否经营预包装食品以外的其他食品，依法严厉打击违规经营行为。2.加强食品销售风险分级管理和信用监管，将虚假备案、违规经营等信息记入企业食品安全信用记录，依法依规对失信主体开展失信惩戒，依法查处违法违规行为。3.畅通投诉举报渠道，强化社会监督。</w:t>
            </w:r>
          </w:p>
        </w:tc>
      </w:tr>
      <w:tr>
        <w:trPr>
          <w:cantSplit/>
          <w:trHeight w:val="20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资信评级机构从事证券服务业审批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批准文件、中华人民共和国证券市场资信评级业务许可证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取消“资信评级机构从事证券服务业审批”，改为备案管理。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落实辖区监管责任，强化一线监管和自律管理职能，加强行政监管、自律管理、稽查执法和刑事追责的衔接配合。</w:t>
            </w:r>
          </w:p>
        </w:tc>
      </w:tr>
      <w:tr>
        <w:trPr>
          <w:cantSplit/>
          <w:trHeight w:val="1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财务顾问机构从事证券服务业审批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取消“财务顾问机构从事证券服务业审批”，改为备案管理。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加强非现场检查和现场监管，及时处理投诉举报，发现违法违规行为要依法查处并公开结果。</w:t>
            </w:r>
          </w:p>
        </w:tc>
      </w:tr>
      <w:tr>
        <w:trPr>
          <w:cantSplit/>
          <w:trHeight w:val="22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《粮食流通管理条例》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省粮食和储备部门;市行政审批局；县（区）行政审批部门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取消“粮食收购资格认定”，改为备案管理。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重点监管等方式，依法查处违法违规企业。2.加强信用监管，依法向社会公布企业信用状况，依法依规对失信主体开展失信惩戒。3.严厉打击备案弄虚作假行为，对提交虚假备案信息的企业依法予以处理。</w:t>
            </w:r>
          </w:p>
        </w:tc>
      </w:tr>
      <w:tr>
        <w:trPr>
          <w:cantSplit/>
          <w:trHeight w:val="33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非经营性通用航空活动登记核准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非经营性通用航空登记证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《中华人民共和国民用航空法》《国务院关于通用航空管理的暂行规定》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对非经营性通用航空企业取消许可准入管理，改为备案管理。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开展民用航空器国籍登记证、适航证和电台执照核发、驾驶员资质管理、飞行计划审批、飞行活动信息统计等工作，对非经营性航空活动的实施主体、航空器、驾驶员和飞行活动地点、时间、过程等各环节、各要素实施全面管理，实现对非经营性通用航空活动的持续安全管理。2.对非经营性通用航空活动进行监管，依法查处违法违规行为。3.加强通用航空诚信体系建设，强化对非经营性通用航空活动主体的信用约束。</w:t>
            </w:r>
          </w:p>
        </w:tc>
      </w:tr>
      <w:tr>
        <w:trPr>
          <w:cantSplit/>
          <w:trHeight w:val="19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民航企业及机场联合、重组和改制审批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准予许可的批复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取消“民航企业及机场联合、重组和改制审批”，改为备案管理。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1.开展“双随机、一公开”监管、重点监管和非现场监管，及时处理投诉举报。2.完善民航企业及机场年度报告制度。3.加强信用监管，对因严重失信行为被记入信用记录的企业依法实施失信惩戒。</w:t>
            </w:r>
          </w:p>
        </w:tc>
      </w:tr>
      <w:tr>
        <w:trPr>
          <w:cantSplit/>
          <w:trHeight w:val="24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旅馆业特种行业许可证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《国务院对确需保留的行政审批项目设定行政许可的决定》《旅馆业治安管理办法》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w:t>
            </w:r>
          </w:p>
        </w:tc>
      </w:tr>
      <w:tr>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公章刻制业特种行业许可证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《国务院对确需保留的行政审批项目设定行政许可的决定》《印铸刻字业暂行管理规则》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公章刻制备案管理，督促公章刻制企业严格落实公章刻制备案管理要求，及时规范上传、报送公章刻制备案信息。</w:t>
            </w:r>
          </w:p>
        </w:tc>
      </w:tr>
      <w:tr>
        <w:trPr>
          <w:cantSplit/>
          <w:trHeight w:val="174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互联网上网服务营业场所信息网络安全审核</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县（区）公安机关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的核查，发现虚假承诺、承诺严重不实的要依法处理。2.开展“双随机、一公开”监管，依法查处违法违规行为。3.加强信用监管，建立从业人员信用记录，依法依规对失信主体开展失信惩戒。</w:t>
            </w:r>
          </w:p>
        </w:tc>
      </w:tr>
      <w:tr>
        <w:trPr>
          <w:cantSplit/>
          <w:trHeight w:val="2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会计师事务所分支机构设立审批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会计师事务所分所执业证书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的会计师事务所分支机构，在一定期限内进行全覆盖检查，加强对其承诺内容真实性的核查，发现虚假承诺或承诺严重不实的要依法处理。2.开展“双随机、一公开”监管，并根据会计师事务所受到处罚情况、其他部门移交线索、群众举报等实施重点监管。3.加强信用监管，完善会计师事务所黑名单制度，依法依规对失信主体开展失信惩戒。</w:t>
            </w:r>
          </w:p>
        </w:tc>
      </w:tr>
      <w:tr>
        <w:trPr>
          <w:cantSplit/>
          <w:trHeight w:val="28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中介机构从事代理记账业务审批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代理记账许可证书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《中华人民共和国会计法》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县（区）财政或行政审批部门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代理记账资格的中介机构，在一定期限内进行全覆盖检查，加强对其承诺内容真实性的核查，发现虚假承诺或承诺严重不实的要依法处理。2.开展“双随机、一公开”监管，并根据企业受到处罚情况、其他部门移交线索、群众举报等实施重点监管。3.加强信用监管，依法向社会公布中介机构信用状况和违法中介机构名单，依法依规对失信主体开展失信惩戒。</w:t>
            </w:r>
          </w:p>
        </w:tc>
      </w:tr>
      <w:tr>
        <w:trPr>
          <w:cantSplit/>
          <w:trHeight w:val="44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民办职业培训学校设立、分立、合并、变更及终止审批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1.开展“双随机、一公开”监管，发现违法违规行为要依法查处并公开结果。2.加强信用监管，依法向社会公布民办职业培训学校信用状况，依法依规对失信主体开展失信惩戒。</w:t>
            </w:r>
          </w:p>
        </w:tc>
      </w:tr>
      <w:tr>
        <w:trPr>
          <w:cantSplit/>
          <w:trHeight w:val="2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经营性中外合作职业技能培训机构设立、分立、合并、变更、终止审批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中外合作办学许可证、内地与港澳台地区合作办学许可证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《中华人民共和国中外合作办学条例》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1.开展“双随机、一公开”监管，发现违法违规行为要依法查处并公开结果。2.加强信用监管，依法向社会公布经营性中外合作职业技能培训机构信用状况，依法依规对失信主体开展失信惩戒。</w:t>
            </w:r>
          </w:p>
        </w:tc>
      </w:tr>
      <w:tr>
        <w:trPr>
          <w:cantSplit/>
          <w:trHeight w:val="40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《中华人民共和国就业促进法》《人力资源市场暂行条例》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省人力资源和社会保障部门；市行政审批局；县（区）人力资源和社会保障</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1.开展“双随机、一公开”监管，发现违法违规行为要依法查处并公开结果。2.加强信用监管，依法向社会公布人力资源服务机构信用状况，依法依规对失信主体开展失信惩戒。</w:t>
            </w:r>
          </w:p>
        </w:tc>
      </w:tr>
      <w:tr>
        <w:trPr>
          <w:cantSplit/>
          <w:trHeight w:val="3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5.修改完善城乡规划编制单位资质管理规定。</w:t>
            </w:r>
          </w:p>
        </w:tc>
      </w:tr>
      <w:tr>
        <w:trPr>
          <w:cantSplit/>
          <w:trHeight w:val="2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从事生活垃圾（含粪便）经营性清扫、收集、运输、处理服务许可证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（环境卫生）部门；市行政审批局；县（区）住建（环境</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w:t>
            </w:r>
          </w:p>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构建生活垃圾经营性服务全过程监管体系，强化日常监管。3.推动生活垃圾无害化处理设施建设和运营信息公开。</w:t>
            </w:r>
          </w:p>
        </w:tc>
      </w:tr>
      <w:tr>
        <w:trPr>
          <w:cantSplit/>
          <w:trHeight w:val="23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建立健全水运工程监理企业黑名单制度。4.发挥行业协会自律作用。</w:t>
            </w:r>
          </w:p>
        </w:tc>
      </w:tr>
      <w:tr>
        <w:trPr>
          <w:cantSplit/>
          <w:trHeight w:val="2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水运工程监理企业机电专项资质认定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4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构建水运工程监理企业黑名单制度。4.发挥行业协会自律作用。</w:t>
            </w:r>
          </w:p>
        </w:tc>
      </w:tr>
      <w:tr>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道路货运经营许可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登记许可信息共享。2.在实施许可后一定时期内加强监督检查，对不符合承诺条件开展经营的要责令限期整改，逾期不整改或整改后仍达不到要求的，要依法撤销许可证件。3.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道路旅客运输站经营许可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市场监管、交通运输等部门之间的登记许可信息共享。2.向社会公开承诺内容，加强社会监督。3.在实施许可后一定时期内加强监督检查，对不符合承诺条件开展经营的要责令限期整改，逾期不整改或整改后仍达不到要求的，要依法撤销许可证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公路工程专业乙级监理资质认定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承诺内容真实性核查，发现虚假承诺行为要依法处理。2.开展“双随机、一公开”监管，发现违法违规行为要依法查处并公开结果。3.加强“互联网+监管”，通过信息化手段强化对企业投标及履约行为的监管。4.加强信用监管，依法向社会公布公路工程监理企业信用状况，拓展信用评价结果应用范围，依法依规实行失信惩戒。5.依法及时处理投诉举报。6.发挥行业协会自律作用。</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单位实施重点监管，加强对企业承诺内容真实性的核查，发现虚假承诺或者承诺严重不实的要依法处理。2.加强信用监管，依法向社会公布水利工程质量检测单位（乙级）信用状况，依法依规对失信主体加大抽查比例并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从事拍卖业务许可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拍卖经营批准证书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《中华人民共和国拍卖法》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1.加强部门间信息共享，统一归集企业信用信息，依法进行公示。2.完善拍卖企业年度核查制度。3.密切与有关部门的联系协调，加强跨部门监管。4.支持行业协会发挥自律作用。</w:t>
            </w:r>
          </w:p>
        </w:tc>
      </w:tr>
      <w:tr>
        <w:trPr>
          <w:cantSplit/>
          <w:trHeight w:val="3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《公共场所卫生管理条例》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1.开展“双随机、一公开”监管，发现违法违规行为要依法查处并公开结果。2.加强信用监管，向社会公布卫生状况存在严重问题的公共场所信息。3.畅通投诉举报渠道，依法及时处理投诉举报。</w:t>
            </w:r>
          </w:p>
        </w:tc>
      </w:tr>
      <w:tr>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社会办医疗机构乙类大型医用设备配置许可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乙类大型医用设备配置许可证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提供虚假材料、未达到承诺要求或者采取其他欺骗手段取得配置许可证的要依法处理。2.加强医疗机构执业活动监管，发现违法违规行为要依法查处并公开结果。3.加强信用监管，向社会公布配置乙类大型医用设备医疗机构的信用状况。4.依法及时处理投诉举报。5.加强行业自律。</w:t>
            </w:r>
          </w:p>
        </w:tc>
      </w:tr>
      <w:tr>
        <w:trPr>
          <w:cantSplit/>
          <w:trHeight w:val="48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省消防救援总队</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公众聚集场所投入使用、营业前消防安全检查意见书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《中华人民共和国消防法》、中共山西省委办公厅山西省人民政府办公厅印发《关于深化消防执法改革的实施意见》的通知（厅字〔2020〕61号）</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市消防救援支队；县（区）消防救援机构或应急部门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投诉举报多的场所实施重点监管。2.公众聚集场所发生造成人员死亡或重大社会影响的火灾，倒查使用管理方主体责任，依法严肃查处。3.加强信用监管，依法向社会公布公众聚集场所消防安全检查情况，依法依规对失信主体加大抽查比例并开展失信惩戒。</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口岸卫生许可证（涉及公共场所）核发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企业，加强对其承诺内容真实性的核查，发现虚假承诺或承诺严重不实的要依法处理。2.开展“双随机、一公开”监管，发现违法违规行为要依法查处并公开结果。3.对许可证有效期届满延期换证的企业，在日常监管中核查承诺情况。</w:t>
            </w:r>
          </w:p>
        </w:tc>
      </w:tr>
      <w:tr>
        <w:trPr>
          <w:cantSplit/>
          <w:trHeight w:val="503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检验检测机构资质认定证书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《中华人民共和国计量法》《中华人民共和国食品安全法》《中华人民共和国计量法实施细则》《中华人民共和国认证认可条例》《医疗器械监督管理条例》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社会关注度高、风险等级高、投诉举报多的领域实施重点监管。2.对以告知承诺方式取得资质认定的机构，加强对其承诺内容真实性的核查，发现虚假承诺或者承诺严重不实的要依法处理。3.加强信用监管，依法向社会公布检验检测机构信用状况，依法依规对失信主体加大抽查比例并开展失信惩戒。</w:t>
            </w:r>
          </w:p>
        </w:tc>
      </w:tr>
      <w:tr>
        <w:trPr>
          <w:cantSplit/>
          <w:trHeight w:val="29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设立认证机构（低风险等级）审批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认证行业监测，针对发现的普遍性问题和突出风险开展专项检查，确保不发生系统性、区域性风险。4.加强信用监管，依法依规完善认证领域黑名单制度，并建立失信主体失信惩戒制度。</w:t>
            </w:r>
          </w:p>
        </w:tc>
      </w:tr>
      <w:tr>
        <w:trPr>
          <w:cantSplit/>
          <w:trHeight w:val="4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重要工业产品生产许可证核发（食品相关产品、化肥、危险化学品包装物及容器和电线电缆产品）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省市场监管局；市市场监管局（初审）</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1.对通过告知承诺取得许可证（包括许可范围变更）的企业开展例行检查，发现虚假承诺或者承诺严重不实的要依法处理。2.对许可有效期届满延期换证的企业，在日常监管中核查承诺情况。</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食品（含食品添加剂）生产许可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 为“实行告知承诺”：对部分低风险食品生产许可试点实施告知承诺。2.除特殊食品（包括保健食品、婴幼儿配方食品和特殊医学用途配方食品）、婴幼儿辅助食品、食盐外，将审批权限由省市场监管局下放至设区的市、县级市场监管部门。3.实现申请、审批全程网上办理。4.不再要求申请人提供营业执照、食品安全管理制度文本等材料，但申请特殊食品生产许可的应提交与所生产食品相适应的生产质量管理体系文件。5.将审批时限由10个工作日压减至6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大信息公示力度，向社会公开食品生产许可信息。2.加强日常监督检查，根据食品生产企业风险分级情况确定检查频次，开展监督检查并向社会公开检查结果。3.加强信用监管，依法依规对失信主体开展失信惩戒。</w:t>
            </w:r>
          </w:p>
        </w:tc>
      </w:tr>
      <w:tr>
        <w:trPr>
          <w:cantSplit/>
          <w:trHeight w:val="15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rPr>
          <w:cantSplit/>
          <w:trHeight w:val="16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1.申请人达到法定条件前，不得从事相关经营活动。2.实行全覆盖例行检查，发现实际情况与承诺内容不符的，依法撤销审批并处罚。</w:t>
            </w:r>
          </w:p>
        </w:tc>
      </w:tr>
      <w:tr>
        <w:trPr>
          <w:cantSplit/>
          <w:trHeight w:val="3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111</w:t>
            </w:r>
          </w:p>
        </w:tc>
        <w:tc>
          <w:tcPr>
            <w:tcW w:w="587"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auto" w:fill="auto"/>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从事包装装潢印刷品和其他印刷品（不含商标、票据、保密印刷）印刷经营活动企业（不含外资企业）的设立、变更审批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auto" w:fill="auto"/>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auto" w:fill="auto"/>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发现企业不符合承诺条件开展经营的责令限期整改，逾期不整改或整改后仍达不到要求的依法撤销许可证件。3.依法及时处理投诉举报。</w:t>
            </w:r>
          </w:p>
        </w:tc>
      </w:tr>
      <w:tr>
        <w:trPr>
          <w:cantSplit/>
          <w:trHeight w:val="20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电力业务许可证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《中华人民共和国电力法》《电力供应与使用条例》《电力监管条例》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2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国家能源局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承装（修、试）电力设施许可证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《中华人民共和国电力法》《电力供应与使用条例》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山西能监办</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r>
      <w:tr>
        <w:trPr>
          <w:cantSplit/>
          <w:trHeight w:val="31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林草种子（普通）生产经营许可证核发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省林草部门；市行政审批局；县（区）规划和自然资源</w:t>
            </w:r>
            <w:r>
              <w:rPr>
                <w:rFonts w:hint="eastAsia" w:ascii="仿宋" w:hAnsi="仿宋" w:eastAsia="仿宋" w:cs="仿宋"/>
                <w:color w:val="auto"/>
                <w:kern w:val="0"/>
                <w:sz w:val="18"/>
                <w:szCs w:val="18"/>
                <w:lang w:eastAsia="zh-CN"/>
              </w:rPr>
              <w:t>部门</w:t>
            </w:r>
            <w:r>
              <w:rPr>
                <w:rFonts w:hint="eastAsia" w:ascii="仿宋" w:hAnsi="仿宋" w:eastAsia="仿宋" w:cs="仿宋"/>
                <w:color w:val="auto"/>
                <w:kern w:val="0"/>
                <w:sz w:val="18"/>
                <w:szCs w:val="18"/>
              </w:rPr>
              <w:t>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1.开展“双随机、一公开”监管，发现违法违规行为要依法查处并公开结果。2.制定核查办法，明确核查时间、标准、方式，优化现场检查程序。3.加强信用监管，建立企业信用记录并依法向社会公开。</w:t>
            </w:r>
          </w:p>
        </w:tc>
      </w:tr>
      <w:tr>
        <w:trPr>
          <w:cantSplit/>
          <w:trHeight w:val="4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由国家林草局审批的国家重点保护陆生野生动物人工繁育许可证核发（已制定人工繁育技术标准的物种）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省级权限内国家重点保护陆生野生动物人工繁育许可证核发（已制定人工繁育技术标准的物种和列入人工繁育国家重点保护陆生野生动物目录的物种）</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1.严格落实行业标准和规范要求，加大监督检查力度。2.加强信用监管，依法依规对失信主体开展失信惩戒。3.组织开展行业培训。4.发挥行业协会自律作用。</w:t>
            </w:r>
          </w:p>
        </w:tc>
      </w:tr>
      <w:tr>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rPr>
          <w:cantSplit/>
          <w:trHeight w:val="20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医疗器械互联网信息服务审批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互联网药品信息服务资格证书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r>
      <w:tr>
        <w:trPr>
          <w:cantSplit/>
          <w:trHeight w:val="26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医疗机构使用放射性药品（一、二类）许可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证的医疗机构，加强对其承诺真实性的核查，发现虚假承诺或承诺严重不实的要依法处理。2.加强药监、卫生健康、生态环境等部门间的协调配合，及时共享医疗机构使用放射性药品信息。3.加强对医疗机构使用放射性药品的日常监管。4.及时向社会公开许可证有关信息，加强社会监督。</w:t>
            </w:r>
          </w:p>
        </w:tc>
      </w:tr>
      <w:tr>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省市场监管局（省知识产权局）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《专利代理条例》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国家知识产权局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制订并公布告知承诺书格式文本，一次性告知申请人许可条件和所需材料。对申请人自愿承诺符合许可条件并按要求提交材料的，当场作出许可决定。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执业许可证的专利代理机构，加强对其承诺内容真实性的核查，发现虚假承诺或者承诺不实的要依法处理。2.开展“双随机、一公开”监管，对通过投诉举报等渠道反映问题多的专利代理机构实施重点监管。3.加强信用监管，向社会公布专利代理机构信用状况，依法依规对失信主体开展失信惩戒。</w:t>
            </w:r>
          </w:p>
        </w:tc>
      </w:tr>
      <w:tr>
        <w:trPr>
          <w:cantSplit/>
          <w:trHeight w:val="40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施工企业资质认定（部分施工总承包乙级资质，部分专业承包资质，燃气燃烧器具安装维修企业资质）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1.燃气燃烧器具安装、维修企业资质认定由市住建局划转至市行政审批服务管理局。2.申请人承诺已经具备许可条件的，经形式审查后当场作出审批决定。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3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施工企业资质认定（部分施工总承包甲级、乙级资质，部分专业承包资质）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《中华人民共和国建筑法》《建设工设部门程安全生产管理条例》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5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建设工程勘察企业资质认定（乙级）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工程设计企业资质认定（部分行业乙级资质及部分专业乙级资质）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24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工程监理企业资质认定（部分专业甲级资质，部分专业乙级资质）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6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工程监理企业资质认定（部分专业乙级资质）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市住建局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发现企业以提供虚假材料、欺骗等不正当手段取得许可证件的，依法撤销许可证件并予以处罚。2.开展“双随机、一公开”监管，对在建工程项目实施重点监管，依法查处违法违规行为并公开结果。3.加强信用监管，对失信主体开展联合惩戒。</w:t>
            </w:r>
          </w:p>
        </w:tc>
      </w:tr>
      <w:tr>
        <w:trPr>
          <w:cantSplit/>
          <w:trHeight w:val="38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建筑施工企业安全生产许可证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省住建厅、市行政审批局</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不具备安全生产条件的，对其依法责令限期整改，或实施暂扣或吊销安全生产许可证等处罚。2.严格开展事故企业安全生产条件复核，对事故责任主体依法实施暂扣或吊销安全生产许可证等处罚，并对其建筑施工活动实施重点监管。3.强化信用监管，将违法失信主体纳入安全生产不良信用记录和“黑名单“，实施联合惩戒。</w:t>
            </w:r>
          </w:p>
        </w:tc>
      </w:tr>
      <w:tr>
        <w:trPr>
          <w:cantSplit/>
          <w:trHeight w:val="25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生鲜乳准运证明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生鲜乳准运证明应具备的条件和需提交的材料（包括车辆行驶证复印件及车辆照片、车辆贮奶罐合格证明材料、车辆所有者身份证明和驾驶员、押运员身份证及健康证）。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1.开展“双随机、一公开”监管，发现违法违规行为要依法查处并公开结果。2.加强对生鲜乳运输车辆的监管，将车辆全部纳入监管监测信息系统，实时掌握运营情况。</w:t>
            </w:r>
          </w:p>
        </w:tc>
      </w:tr>
      <w:tr>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26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兽药经营许可证核发（非生物制品类）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260" w:lineRule="exact"/>
              <w:jc w:val="left"/>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left"/>
              <w:textAlignment w:val="auto"/>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一次性告知申请人申办兽药经营许可证应具备的条件和需提交的材料，申请人承诺符合条件并提交材料的，当场作出审批决定。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经营许可证的企业，加强对其承诺内容真实性的核查，发现虚假承诺或承诺严重不实的要依法处理。2.开展“双随机、一公开”监管，对风险等级高、投诉举报多的企业增加抽检数量和频次，实施重点监管。</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对动物诊疗机构应当具备的条件和技术能力（包括面积、选址、布局、设施设备、制度、人员要求等）实行告知承诺，申请人承诺符合条件并提交材料的，当场作出审批决定。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1.开展“双随机、一公开”监管，发现违法违规行为要依法查处并公开结果。2.对以告知承诺方式取得经营许可证的企业，加强对其承诺内容真实性的核查，发现虚假承诺或承诺严重不实的要依法处理。</w:t>
            </w:r>
          </w:p>
        </w:tc>
      </w:tr>
      <w:tr>
        <w:trPr>
          <w:cantSplit/>
          <w:trHeight w:val="30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省文旅部门；市行政审批局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有关单位承诺已具备经营场所、营业设施、注册资本、经营管理人员和导游等许可条件，并承诺按时缴纳旅游服务质量保证金的，经形式审查后当场作出审批决定。2.网上办理审批业务并在网上公布审批程序、受理条件和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1.开展“双随机、一公开”监管，发现未经许可经营旅行社业务，出租、出借、转让业务经营许可证等违法违规行为的，要依法查处并公开结果。2.加强信用监管，对失信主体开展联合惩戒。</w:t>
            </w:r>
          </w:p>
        </w:tc>
      </w:tr>
      <w:tr>
        <w:trPr>
          <w:cantSplit/>
          <w:trHeight w:val="2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水运工程监理企业甲级资质认定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对水运工程监理企业取得甲级资质应当具备的条件（包括人员、业绩、设备等）实行告知承诺，经形式审查后当场作出审批决定。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通过告知承诺方式取得资质认定的企业在一定期限内开展许可条件核查，发现虚假承诺或者承诺严重不实的要依法处理。2.开展“双随机，一公开”监管，发现违法违规行为要依法查处并公开结果。3.依法及时处理投诉举报。</w:t>
            </w:r>
          </w:p>
        </w:tc>
      </w:tr>
      <w:tr>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广播电视节目制作经营许可证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申请人承诺已经具备许可条件的，经形式审查后当场作出审批决定。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发现企业不符合承诺条件开展经营的责令限期整改，逾期不整改或整改后仍达不到要求的依法撤销许可证件。2.开展“双随机，一公开”监管，依法查处违法违规行为并公开结果。3.加强信用监管，对失信主体开展联合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中外合资、合作印刷企业和外商独资包装装潢印刷企业的设立、变更审批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公布告知承诺书示范文本，一次性告知审批条件和所需材料。申请人承诺已具备章程、确定的业务范围和适应业务需要的固定生产经营场所、设备、资金、组织机构、人员、管理制度、质量保证体系等条件的，经形式审查后当场作出审批决定。2.取消“经营包装装潢印刷品印刷业务的企业必须具备2台以上最近10年生产的胶印、凹印、柔印、丝印等及后序加工设备”的规定。3.进一步优化审批服务：将审批层级下放至县级新闻出版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发现企业不符合承诺条件开展经营的责令限期整改，逾期不整改或整改后仍达不到要求的依法撤销许可证件。3.依法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国内水路运输业务经营许可（不含省际旅客、 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企业应当具备的条件和技术能力（相关证书、人员、设施设备、管理制度等）实行告知承诺，经形式审查后当场作出审批决定。2.进一步优化审批服务，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1.对不符合承诺条件开展经营的责令限期整改;逾期不整改或整改后仍达不到要求的,依法撤销许可证件。2.加强信用监管,建立健全诚信管理制度,及时向社会公布水路运输企业信用状况。</w:t>
            </w:r>
          </w:p>
        </w:tc>
      </w:tr>
      <w:tr>
        <w:trPr>
          <w:cantSplit/>
          <w:trHeight w:val="2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水产苗种场（不含原种场）的水产苗种生产许可证核发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市农业农村局；县（区）农业农村（渔业）或行政审批部门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改革方式由“优化审批服务”调整为“实行告知承诺”：一次性告知申请人办理水产苗种生产审批应具备的条件和需提交的材料，申请人承诺符合条件并提交材料的，当场作出审批决定。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1.开展“双随机、一公开”监管，发现违法违规行为的依法查处。2.对风险等级较高、投诉举报多的企业实施重点监管。3.依法及时处理</w:t>
            </w:r>
            <w:r>
              <w:rPr>
                <w:rFonts w:hint="eastAsia" w:ascii="仿宋" w:hAnsi="仿宋" w:eastAsia="仿宋" w:cs="仿宋"/>
                <w:color w:val="auto"/>
                <w:kern w:val="0"/>
                <w:sz w:val="18"/>
                <w:szCs w:val="18"/>
                <w:lang w:eastAsia="zh-CN"/>
              </w:rPr>
              <w:t>投诉</w:t>
            </w:r>
            <w:r>
              <w:rPr>
                <w:rFonts w:hint="eastAsia" w:ascii="仿宋" w:hAnsi="仿宋" w:eastAsia="仿宋" w:cs="仿宋"/>
                <w:color w:val="auto"/>
                <w:kern w:val="0"/>
                <w:sz w:val="18"/>
                <w:szCs w:val="18"/>
              </w:rPr>
              <w:t>举报，处理结果向社会公开并记入企业信用档案。</w:t>
            </w:r>
          </w:p>
        </w:tc>
      </w:tr>
      <w:tr>
        <w:trPr>
          <w:cantSplit/>
          <w:trHeight w:val="4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除限制使用农药以外其他农药经营许可实行告知承诺，申请人承诺符合条件并提交材料的，当场作出审批决定。2.实现申请、审批网上办理。3.不再要求申请人同时提供申请材料的纸质文件和电子文档。4.不再要求提供身份证、营业执照等能通过部门共享获取的信息材料。不能通过部门共享获取的信息，由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加强行业监督，畅通投诉举报渠道，将有风险隐患、投诉举报较多的企业列入重点监管对象。3.对以告知承诺方式取得经营许可证的企业，加强对其承诺内容真实性的核查，发现虚假承诺或承诺严重不实的依法处理。</w:t>
            </w:r>
          </w:p>
        </w:tc>
      </w:tr>
      <w:tr>
        <w:trPr>
          <w:cantSplit/>
          <w:trHeight w:val="3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动物防疫条件合格证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《中华人民共和国动物防疫法》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省农业农村部门；市农业农村局；县（区）农业农村或行政审批部门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动物防疫条件合格证核发（变更）实行告知承诺，一次性告知申请人申办动物防疫条件合格证核发应具备的条件和需提交的材料，申请人承诺符合条件并提交材料的，当场作出审批决定。2.实现申请、审批网上办理。3.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动物防疫条件合格证的企业，加强对其承诺内容真实性的核查，发现虚假承诺或承诺严重不实的依法处理。2.开展“双随机、一公开”监管，发现违法违规行为的依法查处并公开结果。3.强化社会监督，依法及时处理投诉举报。</w:t>
            </w:r>
          </w:p>
        </w:tc>
      </w:tr>
      <w:tr>
        <w:trPr>
          <w:cantSplit/>
          <w:trHeight w:val="36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游艺娱乐场所设立审批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改革方式由“优化审批服务”调整为“实行告知承诺”：申请人材料齐全，承诺已具备经营许可条件的，并经过公示、听证无异议的，当即作出行政许可决定，即可开展经营。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要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文艺表演团体设立审批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县（区）文旅或行政审批部门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改革方式由“优化审批服务”调整为“实行告知承诺”：申请人材料齐全，承诺已具备经营许可条件的，当即作出行政许可决定，即可开展经营。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美术品进出口经营活动审批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1.改革方式由“优化审批服务”调整为“实行告知承诺”：申请人材料齐全，承诺已具备经营许可条件的，当即作出行政许可决定,现场核查通过后即可开展经营。2.审批层级已委托下放各设区的市。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告知承诺”取得审批证件的被审批人与通过一般审批程序取得审批证件的被审批人平等对待。各级文化和旅游行政部门切实加强事中事后监管，发现被审批人有违法行为的，依法作出处理。因虚假承诺或者违反承诺被撤销行政审批决定的，被审批人基于行政审批取得的利益不受保护，造成的损失由被审批人承担。对被审批人因虚假承诺或者违反承诺依法被撤销行政审批决定的信息，行政审批机关作为不良信息记入被审批人的信用档案。</w:t>
            </w:r>
          </w:p>
        </w:tc>
      </w:tr>
      <w:tr>
        <w:trPr>
          <w:cantSplit/>
          <w:trHeight w:val="37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放射源诊疗技术和医用辐射机构许可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放射诊疗许可证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改革方式由“优化审批服务”调整为“实行告知承诺”：放射源诊疗技术和医用辐射机构许可实行告知承诺制，申请人提交相关材料齐全并签订告知承诺书后，当场发放《放射诊疗许可证》。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放射诊疗许可证》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rPr>
          <w:cantSplit/>
          <w:trHeight w:val="37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麻醉药品和第一类精神药品购用印鉴卡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麻醉药品和第一类精神药品购用许可实行告知承诺制，申请人提交相关材料齐全并签订告知承诺书后，当场发放《麻醉药品和第一类精神药品购用印鉴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取得《麻醉药品和第一类精神药品购用印鉴卡》后，卫生健康行政部门在2个月内开展全覆盖例行检查，发现实际情况与承诺内容不符，确定无法达到审批条件或者经责令限期改正后仍不符合条件的，依法撤销行政许可决定。未达到审批条件而继续经营的，依法予以处罚。2.建立诚信档案，因失信被撤销许可的，记入诚信档案且2年内再次申请卫生行政许可时，不采取告知承诺制。</w:t>
            </w:r>
          </w:p>
        </w:tc>
      </w:tr>
      <w:tr>
        <w:trPr>
          <w:cantSplit/>
          <w:trHeight w:val="735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生产用于传染病防治的消毒产品的单位审批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消毒产品生产企业卫生许可证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针对生产用于传染病防治的消毒产品的单位审批（延续）实行告知承诺。申请人提交相关材料齐全并签订告知承诺书后，当场发放《消毒产品生产企业卫生许可证》。2.推动实现申请、审批全程网上办理并在网上公开办理进度。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通过告知承诺制获准延续并取得《消毒产品生产企业卫生许可证》后，卫生健康行政部门在2个月内开展全覆盖例行检查，发现实际情况与承诺内容不符，确定无法达到延续条件或者经责令限期改正后仍不符合条件的，依法撤销行政许可决定。未达到延续条件而继续经营的，依法予以处罚。2.建立诚信档案。因失信被撤销许可决定的，记入诚信档案且2年内再次申请卫生行政许可时，不采取告知承诺制。3.开展“双随机、一公开”监管，发现违法违规行为的依法查处并公开结果。4.对违法宣传疗效、非法添加违禁物质等问题开展专项整治。5. 加强“互联网+监管”，开展消毒产品生产企业分类监督、综合评价工作。</w:t>
            </w:r>
          </w:p>
        </w:tc>
      </w:tr>
      <w:tr>
        <w:trPr>
          <w:cantSplit/>
          <w:trHeight w:val="7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承担国家法定计量检定机构任务授权审批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计量授权证书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《中华人民共和国计量法》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省级以上市场监管部门；市行政审批局；县（区）市场监管或行政审批部门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改革方式由“优化审批服务”调整为“实行告知承诺”：对计量授权的新建、复查、扩项、变更等实行告知承诺，经形式审查后当场作出审批决定。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作出准予计量授权决定后30天内，对申请企业的承诺内容是否属实进行现场核查。2.对于申请人作出虚假承诺或者承诺内容严重不实的，由市场监管部门依照《中华人民共和国行政许可法》相关规定撤销许可决定，并予以公布。被市场监管部门依法撤销许可决定的企业，其基于本次行政许可取得的利益不受保护，对外出具的相关检定报告不具有证明作用，并承担因此引发的相应法律责任。3.申请企业作出虚假承诺、承诺内容严重不实的，由市场监管部门记入其信用档案，在该不良信息的保存和披露期限届满或者信用修复前，该企业不再适用告知承诺的计量授权方式。4.以告知承诺方式取得计量授权的企业发生其他违法违规行为，依照法律法规的相关规定，予以处理。</w:t>
            </w:r>
          </w:p>
        </w:tc>
      </w:tr>
      <w:tr>
        <w:trPr>
          <w:cantSplit/>
          <w:trHeight w:val="73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食品经营许可（除仅销售预包装食品外）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《中华人民共和国食品安全法》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省市场监管部门；市市场监管局；县（区）市场监管或行政审批部门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改革方式由“优化审批服务”调整为“实行告知承诺”：1.自愿接受评审且通过评审的直营连锁食品经营企业门店新开办许可(销售经营企业和餐饮经营企业) 。2.按照《山西省市场监督管理局关于深化食品经营许可改革的实施意见》（晋市监发〔2020〕401号）关于8类事项实行“告知承诺制”审批和推行品牌连锁便利店食品经营许可改革、“一照多证”改革、减少申请材料、压缩审批时间、优化许可事项等12项改革措施要求抓好落实。</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许可的食品经营者，市场监管部门在许可审批部门作出许可决定之日起30个工作日内实施检查，重点检查食品经营实际情况与承诺内容是否相符、食品经营条件是否符合要求。2.对检查发现食品经营条件不符合要求的，按照相关法律法规予以处理；对食品经营实际情况与承诺内容严重不符（不符合比例超过40%），以欺骗等不正当手段取得食品经营许可的，按照《食品经营许可管理办法》第四十七条规定予以处罚。</w:t>
            </w:r>
          </w:p>
        </w:tc>
      </w:tr>
      <w:tr>
        <w:trPr>
          <w:cantSplit/>
          <w:trHeight w:val="7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特种设备检验检测机构核准证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其中的液化石油气钢瓶检验机构实施告知承诺，在审批环节不再开展现场评审，企业提交申请书、检验报告、自查表、核查记录表、符合法律法规要求和保障质量安全承诺书后，经形式审查合格即发放许可证；对液化石油气钢瓶检验机构在许可周期内未发生行政处罚、责任事故、质量安全问题和质量投诉未结案等情况, 且满足检验业绩有关规定的单位, 在许可证书有效期满前, 采取单位自我声明承诺方式申请直接换证, 取消鉴定评审要求，但不可连续2个许可周期申请直接换证。2.实现申请、审批全过程网上办理，开通审批进度网上查询功能，实现“零跑”。3.压减审批要件，将一般许可申请资料简化为仅需要提交许可申请书。4.制定公布准确完备、简明扼要的服务指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未经现场评审，通过告知承诺获得许可证的单位，各设区市市场监管部门在发证后30天内开展后置现场核查，对不具备检验条件、提供虚假材料的予以依法处理。2.开展“双随机、一公开”监管，明确监督抽查比例和检查要求，发现违规违法行为的依法查处并公开结果。3.对有投诉举报和检验质量问题的机构实施重点监管。</w:t>
            </w:r>
          </w:p>
        </w:tc>
      </w:tr>
      <w:tr>
        <w:trPr>
          <w:cantSplit/>
          <w:trHeight w:val="75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特种设备生产许可证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《中华人民共和国特种设备安全法》《国务院对确需保留的行政审批项目设定行政许可的决定》《特种设备安全监察条例》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1.改革方式由“优化审批服务”调整为“实行告知承诺”：对特种设备生产单位在许可周期内未发生行政处罚、责任事故、质量安全问题和质量投诉未结案等情况, 且满足生产业绩有关规定的生产单位,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不再将型式试验和监督检验作为审批前置条件。6.进一步优化审批服务：将审批时限由30个工作日压减至9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对有投诉举报和质量问题的企业实施重点监管。3.检验检测机构在开展型式试验和监督检验时对持证生产单位是否符合许可条件进行检查, 发现问题及时报告有关部门。4.针对通过自我承诺申请直接换证的生产单位，发现提交的申请材料中有虚假内容的依法处理。</w:t>
            </w:r>
          </w:p>
        </w:tc>
      </w:tr>
      <w:tr>
        <w:trPr>
          <w:cantSplit/>
          <w:trHeight w:val="75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移动式压力容器、气瓶充装单位许可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移动式压力容器充装许可证、气瓶充装许可证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《中华人民共和国特种设备安全法》《特种设备安全监察条例》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省市场监管局；市市场监管局（气瓶）</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lang w:val="en-US" w:eastAsia="zh-CN"/>
              </w:rPr>
            </w:pPr>
            <w:r>
              <w:rPr>
                <w:rFonts w:hint="eastAsia" w:ascii="仿宋" w:hAnsi="仿宋" w:eastAsia="仿宋" w:cs="仿宋"/>
                <w:color w:val="auto"/>
                <w:kern w:val="0"/>
                <w:sz w:val="18"/>
                <w:szCs w:val="18"/>
              </w:rPr>
              <w:t>1.改革方式由“优化审批服务”调整为“实行告知承诺”：对移动式压力容器、气瓶充装单位在许可周期内未发生行政处罚、责任事故、质量投诉未结案等情况, 且满足充装业绩有关规定的充装单位, 在许可证书有效期满前, 采取企业自我声明承诺方式申请直接换证，取消鉴定评审要求，但不可连续2个许可周期申请直接换证。2.实现申请、审批全过程网上办理，开通审批进度网上查询功能，实现“零跑”。3.压减审批要件，将许可申请资料简化为仅需要提交许可申请书。4.制定公布准确完备、简明扼要的服务指南。5.进一步优化审批服务：将审批时限由30个工作日压减至9个工作日。</w:t>
            </w:r>
            <w:r>
              <w:rPr>
                <w:rFonts w:hint="eastAsia" w:ascii="仿宋" w:hAnsi="仿宋" w:eastAsia="仿宋" w:cs="仿宋"/>
                <w:color w:val="auto"/>
                <w:kern w:val="0"/>
                <w:sz w:val="18"/>
                <w:szCs w:val="18"/>
                <w:lang w:val="en-US" w:eastAsia="zh-CN"/>
              </w:rPr>
              <w:t>6.长治</w:t>
            </w:r>
            <w:r>
              <w:rPr>
                <w:rFonts w:hint="eastAsia" w:ascii="仿宋" w:hAnsi="仿宋" w:eastAsia="仿宋" w:cs="仿宋"/>
                <w:color w:val="auto"/>
                <w:kern w:val="0"/>
                <w:sz w:val="18"/>
                <w:szCs w:val="18"/>
              </w:rPr>
              <w:t>市市场监管局</w:t>
            </w:r>
            <w:r>
              <w:rPr>
                <w:rFonts w:hint="eastAsia" w:ascii="仿宋" w:hAnsi="仿宋" w:eastAsia="仿宋" w:cs="仿宋"/>
                <w:color w:val="auto"/>
                <w:kern w:val="0"/>
                <w:sz w:val="18"/>
                <w:szCs w:val="18"/>
                <w:lang w:eastAsia="zh-CN"/>
              </w:rPr>
              <w:t>负责气瓶充装单位许可。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依法查处并公开结果。2.根据规定开展年度监督检查工作。3.对有投诉举报和发生充装事故的企业实施重点监管。4.针对通过自我承诺申请直接换证的充装单位，发现提交的申请材料中有虚假内容的依法处理。</w:t>
            </w:r>
          </w:p>
        </w:tc>
      </w:tr>
      <w:tr>
        <w:trPr>
          <w:cantSplit/>
          <w:trHeight w:val="2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设立健身气功站点审批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健身气功站点注册证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承诺符合条件并提交材料的，当场作出审批决定。2.推广全程网上办理，推进体育领域信息数据共享应用。3.将审批时限由20个工作日变为即时办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重点监管，发现违法违规行为的依法查处并公开结果。2.建立健全跨区域、跨层级、跨部门协同监管制度，推进联合执法。3.加强信用监管，将有严重违法违规行为的机构列入黑名单，对相关经营主体和从业人员实施信用约束和联合惩戒。</w:t>
            </w:r>
          </w:p>
        </w:tc>
      </w:tr>
      <w:tr>
        <w:trPr>
          <w:cantSplit/>
          <w:trHeight w:val="2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商店设立应当具备的执业条件（包括注册资本、人员要求、保管文物的场所和设施条件、技术条件、消防验收材料、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商店设立准予行政许可决定书的文物商店，在一定期限内进行全覆盖检查，加强对其承诺内容真实性的核查。发现虚假承诺或承诺严重不实的，予以依法处理。2.开展“双随机、一公开”监管，并根据文物商店受到的处罚情况、其他部门移交线索、群众举报等，建立文物商店黑名单，对名单内企业实施重点监管。</w:t>
            </w:r>
          </w:p>
        </w:tc>
      </w:tr>
      <w:tr>
        <w:trPr>
          <w:cantSplit/>
          <w:trHeight w:val="27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文物拍卖许可证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拍卖企业应当具备的执业条件（包括注册资本、人员要求、必要的场所和设施条件、技术条件、近2年内无违法违规经营文物行为、无外国资本投资）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文物拍卖许可证的拍卖企业，在一定期限内进行全覆盖检查，加强对其承诺内容真实性的核查。发现虚假承诺或承诺严重不实的，予以依法处理。2.开展“双随机、一公开”监管，并根据文物拍卖企业受到的处罚情况、其他部门移交线索、群众举报等，建立文物拍卖企业黑名单，对名单内企业实施重点监管。</w:t>
            </w:r>
          </w:p>
        </w:tc>
      </w:tr>
      <w:tr>
        <w:trPr>
          <w:cantSplit/>
          <w:trHeight w:val="35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文物保护工程勘察设计资质证书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勘察设计单位的法定代表人任职文件、工作简历，文物保护工程责任设计师职业资格证、业务范围、社保证明、身份证、劳动合同、任职文件，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勘察设计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勘察设计资质单位黑名单制度，对失信主体开展联合惩戒。</w:t>
            </w:r>
          </w:p>
        </w:tc>
      </w:tr>
      <w:tr>
        <w:trPr>
          <w:cantSplit/>
          <w:trHeight w:val="3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文物保护工程施工二级资质审批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文物保护工程施工资质证书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施工单位的法定代表人任职文件、工作简历，文物保护工程责任工程师职业资格证、业务范围、社保证明、身份证、劳动合同、任职文件，文物保护工程施工技术人员的施工类文物保护工程从业上岗证、社保证明、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以告知承诺方式取得的文物保护工程施工二级、三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施工资质单位黑名单制度，对失信主体开展联合惩戒。</w:t>
            </w:r>
          </w:p>
        </w:tc>
      </w:tr>
      <w:tr>
        <w:trPr>
          <w:cantSplit/>
          <w:trHeight w:val="35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文物保护工程监理资质证书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改革方式由“优化审批服务”调整为“实行告知承诺”：对文物保护工程监理单位的法定代表人任职文件、工作简历，文物保护工程责任监理师职业资格证、业务范围、社保证明、身份证、劳动合同、任职文件，文物保护工程监理员的监理类文物保护工程从业上岗证、劳动合同、身份证实行告知承诺，经形式审查后当场作出审批决定。</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告知承诺方式取得的文物保护工程监理乙级、丙级资质单位，在一定期限内进行全覆盖检查，加强对其承诺内容真实性的核查，发现虚假承诺或承诺严重不实的予以依法处理。2.开展“双随机、一公开”监管，并根据资质单位受处罚情况、其他部门移交线索、群众举报等实施重点监管。3.加强信用监管，完善文物保护工程监理资质单位黑名单制度，对失信主体开展联合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药品零售企业许可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药品经营许可证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市行政审批局；县（区）市场监管或行政审批部门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申请人申请筹建药品零售连锁总部、连锁门店、单体药店可采取告知承诺办理，符合要求当场发放同意筹建的许可决定书。药品零售企业申请药品经营许可证变更企业名称、法定代表人、企业负责人、企业质量负责人可采取告知承诺办理，符合要求当场变更药品经营许可证。2.不再要求申请人提供营业执照等材料。3.进一步压减药品零售企业许可事项审批时限。</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以上通过告知承诺获得许可的企业，市、县（区）监管部门可通过书面资料核查、现场检查等方式对被许可人的承诺内容是否属实进行核查。对不具备许可条件、提供虚假材料的依法处理。在作出准予许可决定后3个月内，相关部门可通过书面资料核查、现场检查或组织属地监管部门现场检查等方式对被许可人的承诺内容是否属实进行核查。经核查不符合承诺内容的，按相关规定处理。2.落实“四个最严”要求，通过日常监管督促企业不断完善、改进质量管理体系，持续合法合规经营。对违法违规行为，依法严厉查处并公开曝光。</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升放无人驾驶自由气球、系留气球单位资质认定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升放气球资质证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改革方式由“优化审批服务”调整为“实行告知承诺”：企业提出资质认定申请，相关审批部门一次性告知其所需资质认定条件和要求以及相关材料，申请单位以书面形式承诺其符合法定条件和技术能力要求，由资质认定部门先行作出资质认定决定。2.不再要求申请人提供法人证书或营业执照原件。3.实现申请、审批全程网上办理并在网上公布审批程序、受理条件、办理标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双随机、一公开”监管、跨部门联合监管等方式，对升放无人驾驶自由气球、系留气球活动实施严格监管，发现违法违规行为的依法查处并公开结果。2.加强对升放气球行为的法律法规和科普宣传，提高升放单位和社会公众的安全意识。</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科技部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实验动物生产和使用许可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实验动物生产许可证、实验动物使用许可证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《实验动物管理条例》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省科技厅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验动物生产许可证、使用许可证换证环节探索实施告知承诺制，实验动物生产许可证、使用许可证有效期满申请延续的，如申请单位承诺原许可范围及条件没有实质性变化，经形式审查后可直接作出许可决定。2.不再要求申请人提供营业执照复印件、工作人员体检证明、特殊工种证件复印件、经办人身份证复印件（含授权委托书）等材料。3.进一步压缩审批时间，从法定的20个工作日压缩到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1.开展“双随机、一公开”监管，发现违法违规行为要依法查处并公开结果。2.依法及时处理投诉举报。3.对初次申请的，在现场评估时进行合规性核查。</w:t>
            </w:r>
          </w:p>
        </w:tc>
      </w:tr>
      <w:tr>
        <w:trPr>
          <w:cantSplit/>
          <w:trHeight w:val="7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实施中等及中等以下学历教育、学前教育、自学考试助学及其他文化教育的民办学校设立、变更和终止审批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省教育部门；市行政审批局；县（区）教育或行政审批部门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rPr>
          <w:cantSplit/>
          <w:trHeight w:val="74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教育部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省教育厅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实施专科教育的高等学校和其他高等教育机构的设立、分立、合并、变更和终止审批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中华人民共和国民办学校办学许可证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《中华人民共和国高等教育法》《中华人民共和国民办教育促进法》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auto"/>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省级人民政府或省教育厅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社会组织申请筹设或正式设立营利性民办学校时，不再要求提交由会计师事务所出具的该社会组织近2年的年度财务会计报告审计结果等材料。2.在民办学校举办者再次申请举办营利性民办学校时，不再要求提交近2年年度检查的证明材料和有资质的会计师事务所出具的学校上年度财务会计报告审计结果。3.将营利性民办学校申请许可证到期延续审批时限均由20个工作日压减至15个工作日。4.对民办学校申请许可证到期延续的，若许可条件基本不变且无违法违规或失信记录，在各学段原有许可证期限基础上延长1年有效期。5.每半年1次公布营利性民办学校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定期进行抽查检查，加强对民办学校的过程性指导，加大对违法违规办学行为的查处力度。2.推进民办教育信用信息公示制度，将民办学校的法人登记信息、行政许可信息、年度检查信息、监督检查结果、行政处罚信息向社会公示，强化信用约束。3.依法依规建立违规失信惩戒机制，并将违规办学的学校及其举办者和负责人纳入黑名单，依法向社会公开，并对其今后在民办教育领域的许可申请实施重点监管。4.健全联合执法机制，通过跨部门的实时数据对接和信息共享，及时掌握和研判民办教育领域出现的新问题，积极主动予以应对。</w:t>
            </w:r>
          </w:p>
        </w:tc>
      </w:tr>
      <w:tr>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食盐定点批发企业证书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1.严格执行有关法律法规和标准，对食盐定点批发企业加强监管。2.加强信用监管，依法向社会公布食盐定点批发企业信用状况，依法依规对失信主体开展失信惩戒。</w:t>
            </w:r>
          </w:p>
        </w:tc>
      </w:tr>
      <w:tr>
        <w:trPr>
          <w:cantSplit/>
          <w:trHeight w:val="1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食盐定点生产企业证书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《食盐专营办法》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1.严格执行有关法律法规和标准，对食盐定点生产企业加强监管。2.加强信用监管，依法向社会公布食盐定点生产企业信用状况，依法依规对失信主体开展失信惩戒。</w:t>
            </w:r>
          </w:p>
        </w:tc>
      </w:tr>
      <w:tr>
        <w:trPr>
          <w:cantSplit/>
          <w:trHeight w:val="36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电信业务（基础电信业务）经营许可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28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电信业务（第一类增值电信业务）经营许可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28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电信业务（第二类增值电信业务）经营许可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电信业务经营许可证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1.加强政务信息共享共用，不再要求申请人提供营业执照、人员身份证明等材料。2.健全有关管理平台，提升审批服务水平。</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对经营者经营行为的监测，督促经营者按照规定报送信息。3.对社会关注度高、有违法不良记录的经营者实施重点监管。4.加强行政执法，对违反电信管理规定的，依法查处并公开结果。5.加强信用监管，依法公布电信业务经营失信名单，依法依规对失信主体开展失信惩戒。</w:t>
            </w:r>
          </w:p>
        </w:tc>
      </w:tr>
      <w:tr>
        <w:trPr>
          <w:cantSplit/>
          <w:trHeight w:val="17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电子认证服务许可证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《中华人民共和国电子签名法》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1.优化审批流程，将工业和信息化部审查和征求商务部意见两个环节由串联改为并联。2.将审批时限由45个工作日压减至40个工作日。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1.开展“双随机、一公开”监管，按照不同业务类型、信用水平等，合理确定抽查比例。2.加强信用监管，依法依规对失信主体开展失信惩戒。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组织各级民爆行业主管部门实行全覆盖监管，发现违法违规行为要依法查处并公开结果。2.依法从严查处未经许可生产民用爆炸物品、利用现场混装炸药作业系统非法生产工业炸药的行为。3.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1.将审批时限由45个工作日压减至10个工作日。2.将无需现场核查的业务办理项“审查“与”决定”环节合并，时限压缩至5工作日。3.将民用爆炸物品安全生产许可证年检制度改为年度报告制度。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1.加强行政执法，依法依规实行全覆盖监管，开展民用爆炸物品行业安全生产专项督查，发现违法违规行为要依法查处并公开结果。2.及时处理投诉举报。</w:t>
            </w:r>
          </w:p>
        </w:tc>
      </w:tr>
      <w:tr>
        <w:trPr>
          <w:cantSplit/>
          <w:trHeight w:val="32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省国防科工局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30个工作日压减至10个工作日。2.将无需现场核查的业务办理项“审查“与”决定”环节合并，时限压缩至5工作日。3.将民用爆炸物品销售许可证年检制度改为年度报告制度。4.取消申请许可时“从事配送业务的必须具备押运员、驾驶员以及符合特定的爆炸物品专用运输车辆”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1.加强行政执法，依法依规实行全覆盖监管，发现违法违规销售民用爆炸物品（包括硝酸铵）行为要依法查处并公开结果。2.及时处理投诉举报。</w:t>
            </w:r>
          </w:p>
        </w:tc>
      </w:tr>
      <w:tr>
        <w:trPr>
          <w:cantSplit/>
          <w:trHeight w:val="3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互联网域名根服务器设置及其运行机构和注册管理机构的设立审批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rPr>
          <w:cantSplit/>
          <w:trHeight w:val="38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设立互联网域名注册服务机构审批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省通信管理局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健全有关管理系统，简化申请材料，不再要求申请人提供人员学历、劳动合同、规章制度、服务模板等材料。2.通过系统自动导入功能，将申请人之前填写内容自动导入申请表格，方便申请人修改，支持大数据附件上传功能。3.设定流程审核时限，通过短信提醒等方式督促申请人按时办结。4.实现审批全流程监控，通过发送短信等方式提醒申请人按时递交材料、领取批文等。</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1.开展“双随机、一公开”监管，发现违法违规行为要依法查处并公开结果。2.及时处理投诉举报。3.督促企业按照有关要求定期报送信息。4.利用技术手段提高监管有效性，及时处置违法违规行为。</w:t>
            </w:r>
          </w:p>
        </w:tc>
      </w:tr>
      <w:tr>
        <w:trPr>
          <w:cantSplit/>
          <w:trHeight w:val="40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道路机动车辆生产企业许可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公告</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《中华人民共和国道路交通安全法》《国务院对确需保留的行政审批项目设定行政许可的决定》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将产品参数变更扩展由审批改为备案，推行企业产品准入自检自证和系族车型管理。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1.开展“双随机、一公开”监管，发现违法违规行为要依法查处并公开结果。2.建立车辆信用信息管理体系，会同有关部门开展联合监管。</w:t>
            </w:r>
          </w:p>
        </w:tc>
      </w:tr>
      <w:tr>
        <w:trPr>
          <w:cantSplit/>
          <w:trHeight w:val="336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第二类监控化学品经营许可证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1.开展“双随机、一公开”监管，依法查处违法违规经营活动并公开结果。2.加强信用监管，依法依规对失信主体开展失信惩戒。</w:t>
            </w:r>
          </w:p>
        </w:tc>
      </w:tr>
      <w:tr>
        <w:trPr>
          <w:cantSplit/>
          <w:trHeight w:val="37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省工信厅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第二、三类监控化学品和第四类监控化学品中含磷、硫、氟的特定有机化学品生产特别许可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监控化学品生产特别许可证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《中华人民共和国监控化学品管理条例》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工业和信息化部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1.将“第二、三类监控化学品和第四类监控化学品中含磷、硫、氟的特定有机化学品生产特别许可”由省工信厅初审、工业和信息化部审批，调整为省工信厅直接审批。2.不再要求申请人提供车间平面布置图。</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1.开展“双随机、一公开”监管，依法查处违法违规生产活动并公开结果。2.依法依规对失信主体开展失信惩戒。3.省工信厅定期将审批情况报工业和信息化部备案。</w:t>
            </w:r>
          </w:p>
        </w:tc>
      </w:tr>
      <w:tr>
        <w:trPr>
          <w:cantSplit/>
          <w:trHeight w:val="21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《保安服务管理条例》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1.不再要求申请人提供相关人员工作经验证明和无故意犯罪记录证明等材料。2.将审批时限由30个工作日压减至20个工作日。3.制定公布办事指南，推广网上办理。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1.开展“双随机、一公开”监管、重点监管，及时处理投诉举报，依法查处违法违规行为。2.加强信用监管，建立企业信用档案并依法向社会公开信用记录，依法依规对失信主体开展失信惩戒。</w:t>
            </w:r>
          </w:p>
        </w:tc>
      </w:tr>
      <w:tr>
        <w:trPr>
          <w:cantSplit/>
          <w:trHeight w:val="16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爆破作业单位许可证（非营业）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《民用爆炸物品安全管理条例》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省公安厅；市公安局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不再要求申请者提供爆破作业业绩证明、技术负责人从业经历证明、从业人员资格证明等材料。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1.开展“双随机、一公开”监管，依法查处违法违规行为。2.利用技术手段开展检查，发现不符合资质条件规定的依法处理。</w:t>
            </w:r>
          </w:p>
        </w:tc>
      </w:tr>
      <w:tr>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营业性射击场设立许可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15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1.实行申请、审批全程网上办理。2.不再要求申请人提供技术鉴定文件。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1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民用枪支（弹药）配售许可证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实行申请、审批全程网上办理。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26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弩的制造、销售、购置、进口、运输许可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1.实行申请、审批全程网上办理。2.不再要求申请人提供营业执照、无违法犯罪记录证明、批准立项文件。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1.开展“双随机、一公开”监管，依法查处违法违规行为。2.及时处理投诉举报。3.通过有关信息系统对企业上报的数据进行核查。</w:t>
            </w:r>
          </w:p>
        </w:tc>
      </w:tr>
      <w:tr>
        <w:trPr>
          <w:cantSplit/>
          <w:trHeight w:val="27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省公安厅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计算机信息系统安全专用产品销售许可证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《中华人民共和国计算机信息系统安全保护条例》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公安部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1.不再要求申请人提供营业执照、商用密码产品型号证书等材料。2.将审批时限由15个工作日压减至10个工作日。3.实行申请、审批全程网上办理。4.停止收取产品首次检测费用。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每年组织开展网络安全行业产品抽查工作，对产品不合格的企业进行全国通报，并责令其限期整改，对违规生产、销售的企业要依法查处。2.加强对计算机信息系统安全专用产品有关检测机构的监管，依法及时处理投诉举报，发现违法违规行为要依法查处。</w:t>
            </w:r>
          </w:p>
        </w:tc>
      </w:tr>
      <w:tr>
        <w:trPr>
          <w:cantSplit/>
          <w:trHeight w:val="21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建设经营性公墓审批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《殡葬管理条例》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省民政厅；市行政审批局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1.加快殡葬信息化建设，推动实现审批全程网上办理。2.市行政审批部门要将经营性公墓审批结果报省民政厅备案。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殡葬设施规划，通过规划对殡葬设施进行总量控制。2.开展“双随机、一公开”监管，建立完善殡葬服务企业随机抽查事项清单，增强监管效能。3.强化公墓年检制度，对违规建设经营行为完善处罚机制和措施。4.推进跨部门联合监管。</w:t>
            </w:r>
          </w:p>
        </w:tc>
      </w:tr>
      <w:tr>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设立免税场所事项审批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1.网上公布审批程序、办理依据、申请条件、申请材料等信息。2.不再要求申请人提供特许经营费缴纳情况等材料。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1.建立健全部门间监管协调机制，依据职责分工加强联合监管。2.开展定期或不定期检查，发现违法违规行为交由有关部门依法查处。</w:t>
            </w:r>
          </w:p>
        </w:tc>
      </w:tr>
      <w:tr>
        <w:trPr>
          <w:cantSplit/>
          <w:trHeight w:val="17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财政部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会计师事务所执业证书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《中华人民共和国注册会计师法》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省财政厅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1.开展“双随机、一公开”监管，并根据会计师事务所受到处罚情况、其他部门移交线索、群众举报等实施重点监管。2.定期对会计师事务所符合执业许可情况开展专项检查。</w:t>
            </w:r>
          </w:p>
        </w:tc>
      </w:tr>
      <w:tr>
        <w:trPr>
          <w:cantSplit/>
          <w:trHeight w:val="56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设立民办普通、高级技工学校审批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rPr>
          <w:cantSplit/>
          <w:trHeight w:val="4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设立民办技师学院审批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办学许可证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《中华人民共和国民办教育促进法》《中华人民共和国民办教育促进法实施条例》《国务院对确需保留的行政审批项目设定行政许可的决定》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省级人民政府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1.实现申请网上办理。2.不再要求申请人提供在登记注册等环节已经提交过的材料。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1.开展“双随机、一公开”监管。2.通过检查考核或投诉举报件专查等方式，进行有效监管，发现违法违规行为要依法查处并公开结果。</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企业年金基金管理机构资格认定、延续认定（国家级）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企业年金基金管理机构资格证书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1.每年更新发布存量情况，实时更新基金管理机构及资格变动情况。2.拟新增许可企业时，提前2个月在网上公布受理时间、受理条件、办理标准、本次增加数量等内容。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年金基金管理合同和养老金产品备案管理，依法依规对年金基金管理机构的市场行为进行日常监管。3.加强“互联网+监管”，通过跨部门联合监管等方式进行有效监管。</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劳务派遣经营许可证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《中华人民共和国劳动合同法》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省人力资源社会保障部门；市行政审批局；县（区）人力资源社会保障或行政审批部门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1.加快实现申请、审批全程网上办理。2.不再要求申请人提供营业执照、企业名称预先核准通知书、法定代表人身份证明等材料。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1.开展“双随机、一公开”监管，发现违法违规行为要依法查处。2.加强信用监管，依法向社会公布劳务派遣企业信用状况，依法依规对失信主体开展失信惩戒。</w:t>
            </w:r>
          </w:p>
        </w:tc>
      </w:tr>
      <w:tr>
        <w:trPr>
          <w:cantSplit/>
          <w:trHeight w:val="24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省人社厅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以技能为主的国外职业资格证书及发证机构资格审核和注册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人力资源社会保障部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1.审批权限由人力资源社会保障部下放至省人社厅。2.实现申请、审批全程网上办理。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开展“双随机、一公开”监管，对通过投诉举报等渠道反映问题多的机构实施重点监管，发现违法违规行为要依法查处并公开结果。</w:t>
            </w:r>
          </w:p>
        </w:tc>
      </w:tr>
      <w:tr>
        <w:trPr>
          <w:cantSplit/>
          <w:trHeight w:val="18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1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7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地质灾害危险性评估单位乙级资质审批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不再要求申请人提供设立单位批准文件、法定代表人和技术负责人简历、法定代表人任命和聘任文件、技术人员从事地质灾害防治技术工作5年以上证明文件等材料。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地质灾害治理工程勘查单位乙级资质审批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地质灾害治理工程设计单位乙级资质审批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地质灾害治理工程施工单位乙级资质审批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4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地质灾害治理工程监理单位乙级资质审批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地质灾害防治单位资质证书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《地质灾害防治条例》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不再要求申请人提供设立单位批准文件、法定代表人和技术负责人简历、法定代表人任命和聘任文件等材料。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完善标准和规范，对企业执行标准规范情况加强监管。2.开展“双随机、一公开”监管，对违法违规企业依法查处并公开结果。3.强化信用监管，向社会公布企业信用状况，依法依规构建黑名单制度，并对失信主体开展失信惩戒。4.充分发挥行业自律作用。</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城乡规划编制资质证书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《中华人民共和国城乡规划法》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1.修改完善城乡规划编制单位资质管理规定。2.实现申请、审批全程网上办理并在网上公布审批程序、受理条件、办理标准。3.将审批时限由20个工作日压减至15个工作日。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1.开展“双随机、一公开”监管，对违法违规行为要依法查处并公开结果。2.对有投诉举报和质量问题的企业实施重点监管。</w:t>
            </w:r>
          </w:p>
        </w:tc>
      </w:tr>
      <w:tr>
        <w:trPr>
          <w:cantSplit/>
          <w:trHeight w:val="52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勘查矿产资源审批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矿产资源勘查许可证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《中华人民共和国矿产资源法》《中华人民共和国矿产资源法实施细则》《矿产资源勘查区块登记管理办法》《探矿权采矿权转让管理办法》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不再要求申请人提供符合国家限制及政策调控申请条件等材料。积极探索采取委托等方式，将省自然资源厅负责的部分探矿权变更、延续、保留、注销登记等事项的审批权限下放至设区的市级自然资源部门。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1.开展“双随机、一公开”监管，对违法违规探矿的要依法查处并公开结果。2.利用有关信息系统实现矿业权人勘查开采信息公示等，加强对探矿权人行为的监管。</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开采矿产资源审批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采矿许可证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《中华人民共和国矿产资源法》《中华人民共和国矿产资源法实施细则》《矿产资源开采登记管理办法》《探矿权采矿权转让管理办法》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自然资源部；省自然资源部门；市规划和自然资源局；县（区）规划和自然资源部门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不再要求申请人提供符合国家限制及政策调控申请条件等材料。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1.开展“双随机、一公开”监管，对违法违规采矿的要依法查处并公开结果。2.利用有关信息系统实现矿业权人勘查开采信息公示等，加强对采矿权人行为的监管。</w:t>
            </w:r>
          </w:p>
        </w:tc>
      </w:tr>
      <w:tr>
        <w:trPr>
          <w:cantSplit/>
          <w:trHeight w:val="2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自然资源部；省自然资源厅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取消现行测绘资质10个专业类别下设的55个子项。将除导航电子地图制作以外的其余9个甲级测绘资质审批权限，由自然资源部下放至省自然资源厅。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从事测绘活动的单位乙级资质审批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测绘资质证书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《中华人民共和国测绘法》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省自然资源厅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取消现行测绘资质10个专业类别下设的55个子项。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对通过投诉举报等渠道反映问题多的测绘单位实施重点监管。3.加强信用监管，依法向社会公布测绘单位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民用核材料许可证核准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1.将生态环境部门和其他有关部门对申请材料的审查从串联办理改为并联办理。2.将审批时限由180天压减至150天。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1.出台核材料管制相关办法，明确监管规则，加强监管。2.将民用核材料使用单位全面纳入核安全例行监督检查范围，发现违法违规行为要依法查处并公开结果。</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排污许可证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《中华人民共和国环境保护法》《中华人民共和国大气污染防治法》《中华人民共和国水污染防治法》《中华人民共和国土壤污染防治法》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省生态环境部门；市生态环境局；县（区）生态环境部门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通过建设项目行业特征表实现有关信息系统的衔接，推动环境影响评价与排污许可之间的信息共享，不再要求企业重复填报有关信息。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无证排污行为和未按证排污行为。2.畅通投诉举报渠道，对反映问题多的排污单位实施重点监管。3.加强信用监管，将企业环境信用信息通过有关信息共享平台向各部门各地区共享，依法向社会公开信用信息，并对失信主体开展失信惩戒。</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民用核安全设备设计许可证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5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民用核安全设备安装许可证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26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民用核安全设备无损检验单位许可证核发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民用核安全设备无损检验许可证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1.严格执行相关法律法规规定，对违法违规企业依法查处。2.依法及时处理举报、信访问题，调查处理结果向社会公开，对投诉举报和反映质量问题较多的企业实施重点监管。</w:t>
            </w:r>
          </w:p>
        </w:tc>
      </w:tr>
      <w:tr>
        <w:trPr>
          <w:cantSplit/>
          <w:trHeight w:val="47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为境内民用核设施进行核安全设备设计、制造、安装和无损检验活动的境外单位注册登记审批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民用核安全设备活动境外单位注册登记确认书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《中华人民共和国核安全法》《民用核安全设备监督管理条例》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1.严格执行相关法律法规规定，查处违法违规企业并向社会公开结果。2.依法及时处理举报、信访问题，对投诉举报和反映质量问题较多的企业实施重点监管。</w:t>
            </w:r>
          </w:p>
        </w:tc>
      </w:tr>
      <w:tr>
        <w:trPr>
          <w:cantSplit/>
          <w:trHeight w:val="30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生产放射性同位素（除医疗自用的短半衰期放射性药物外）许可证核发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将场所等级属于乙级、丙级的生产放射性同位素单位的审批权限由生态环境部下放至省生态环境厅。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1.严格执行有关法律法规和标准，开展“双随机、一公开”监管，发现违法违规问题严格依法处罚并公开结果。2.加强对有关生态环境部门人员的培训，提升监管能力。</w:t>
            </w:r>
          </w:p>
        </w:tc>
      </w:tr>
      <w:tr>
        <w:trPr>
          <w:cantSplit/>
          <w:trHeight w:val="4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销售、使用Ⅰ类放射源（医疗使用Ⅰ类放射源除外）和Ⅰ类射线装置单位的辐射安全许可证核发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不再要求申请人提供生态环境部门批复的环境影响评价文件，改为生态环境部门之间信息共享获取。</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省生态环境厅加强与生态环境部信息数据互联互通，方便获取有关信息。3.加强对有关生态环境部门人员的培训，提升监管能力。</w:t>
            </w:r>
          </w:p>
        </w:tc>
      </w:tr>
      <w:tr>
        <w:trPr>
          <w:cantSplit/>
          <w:trHeight w:val="75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医疗使用Ⅰ类放射源，制备正电子发射计算机断层扫描用放射性药物自用，销售、使用Ⅱ、Ⅲ、Ⅳ、Ⅴ类放射源，生产、销售和使用Ⅱ、Ⅲ类射线装置的单位的辐射安全许可证核发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辐射安全许可证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《中华人民共和国放射性污染防治法》《放射性同位素与射线装置安全和防护条例》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销售、使用Ⅳ、Ⅴ类放射源，生产、销售和使用Ⅱ、Ⅲ类射线装置单位的许可证核发由市行政审批局承担。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1.严格执行有关法律法规和标准，开展“双随机、一公开”监管，发现违法违规问题要严格依法查处并公开结果。2.加强对有关生态环境部门人员的培训，提升监管能力。</w:t>
            </w:r>
          </w:p>
        </w:tc>
      </w:tr>
      <w:tr>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Ⅰ类放射性物品运输容器制造许可证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1.实现申请、审批全程网上办理。2.不再要求申请单位提交营业执照、核级焊工焊接操作工资格证书、核级无损检验人员资格证书和计量人员、理化检验人员资格证书复印件等材料。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相关法律法规要求，对持证企业加强监督管理。2.对违法违规企业严格按照有关规定进行处理。3.依法及时处理举报、信访问题，调查处理结果向社会公开，对投诉举报和反映质量问题较多的企业实施重点监管。</w:t>
            </w:r>
          </w:p>
        </w:tc>
      </w:tr>
      <w:tr>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放射性污染监测机构资质认定（国家级权限）</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放射性污染监测资质许可证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定期向社会公开放射性污染监测机构存量情况，方便有关企业委托开展业务，接受社会监督。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1.完善放射性监测机构制度管理体系。2.生态环境部门会同有关部门加强对各类放射性监测机构的监督检查。3.推动企业信息公开，加强社会监督。</w:t>
            </w:r>
          </w:p>
        </w:tc>
      </w:tr>
      <w:tr>
        <w:trPr>
          <w:cantSplit/>
          <w:trHeight w:val="26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设立专门从事放射性固体废物贮存、处置单位许可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放射性固体废物贮存、处置许可证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《中华人民共和国放射性污染防治法》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1.实现申请、审批全程网上办理。2.将放射性固体废物贮存、处置许可与设施的安全许可审查合并进行，不再要求申请人重复提交材料。3.将审批时限由20个工作日压减至18个工作日。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1.严格按照相关的法律法规和标准开展工作，强化日常监督管理。2.开展“双随机、一公开”监管，对存在违规违法行为的企业依法调查处理并公开结果。3.及时处理举报、投诉或信访案件。</w:t>
            </w:r>
          </w:p>
        </w:tc>
      </w:tr>
      <w:tr>
        <w:trPr>
          <w:cantSplit/>
          <w:trHeight w:val="48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危险废物综合经营许可证核发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危险废物经营许可证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《中华人民共和国固体废物污染环境防治法》《危险废物经营许可证管理办法》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省生态环境部门；市行政审批局；县（区）生态环境或行政审批部门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以下审批材料：贮存、利用处置危险废物的设施、设备经卫生、消防等部门验收合格的证明文件复印件，环境保护设施竣工验收意见复印件，消防部门证明材料，公安机关证明材料，经营安全生产评估报告及备案证明材料，从事危险货物运输的道路运输经营许可证、危险废物运输车辆运营证、危险货物运输驾驶员证和押运员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畅通投诉举报渠道，依法及时处理有关投诉举报，并公开结果。3.要求危险废物经营单位定期报告有关经营活动环境污染防治情况，将违规经营情况纳入企业信用记录。</w:t>
            </w:r>
          </w:p>
        </w:tc>
      </w:tr>
      <w:tr>
        <w:trPr>
          <w:cantSplit/>
          <w:trHeight w:val="261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废弃电器电子产品处理企业资格审批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废弃电器电子产品处理资格证书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《废弃电器电子产品回收处理管理条例》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不再要求申请人提供所在地生态环境部门出具的经营期间守法证明和监督性监测报告及建设项目工程质量、消防和安全验收的证明材料。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1.开展“双随机、一公开”监管，合理确定抽查比例。2.对失信主体强化信用约束，依法查处违规经营等行为并记入信用记录，依法向社会公开。3.发挥行业协会自律作用。</w:t>
            </w:r>
          </w:p>
        </w:tc>
      </w:tr>
      <w:tr>
        <w:trPr>
          <w:cantSplit/>
          <w:trHeight w:val="37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危险化学品进出口环境管理登记证核发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有毒化学品进（出）口环境管理放行通知单</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会同有关部门进一步缩减《中国严格限制的有毒化学品名录》范围，使企业进出口更多种类的危险化学品时不再需要办理进出口环境管理登记证。</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1.开展“双随机、一公开”监管，合理确定抽查比例。2.对失信主体实施重点监管，依法查处违规经营等行为并记入信用记录，依法向社会公开。3.依法及时处理投诉举报。</w:t>
            </w:r>
          </w:p>
        </w:tc>
      </w:tr>
      <w:tr>
        <w:trPr>
          <w:cantSplit/>
          <w:trHeight w:val="36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省生态环境厅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新化学物质环境管理登记证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生态环境部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调整新化学物质申报登记所需的毒理学、生态毒理学最低数据要求，减轻企业负担。</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1.开展“双随机、一公开”监管。2.对失信主体强化信用约束，实施重点监管，依法查处违规经营行为并记入信用记录。3.加强行业自律和社会监督。</w:t>
            </w:r>
          </w:p>
        </w:tc>
      </w:tr>
      <w:tr>
        <w:trPr>
          <w:cantSplit/>
          <w:trHeight w:val="7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房地产开发企业一级资质核定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55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房地产开发企业二级资质核定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房地产开发企业资质证书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《中华人民共和国城市房地产管理法》《城市房地产开发经营管理条例》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省住房城乡建设部门；市行政审批局；县（区）住房城乡建设或行政审批部门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不再要求申请人提供法定代表人和高级管理人员任职文件、身份证及专业管理人员劳动合同、上一年度财务报告、近3年房地产开发统计年报基层表、项目《房地产开发项目手册》及在建项目进度说明等。对于能与登记注册、社会保险缴纳实现共享的信息，不再要求企业重复提供。2.依托全国一体化政务服务平台身份认证、数据共享、电子印章、电子证照等基础支撑，按照“一网通办”要求办理房地产开发企业资质核定工作，全面实行电子化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1.开展“双随机、一公开”监管，依法查处违法违规行为并公开结果。2.加强信用监管，依法依规对失信主体开展失信惩戒。3.发挥行业协会自律作用。</w:t>
            </w:r>
          </w:p>
        </w:tc>
      </w:tr>
      <w:tr>
        <w:trPr>
          <w:cantSplit/>
          <w:trHeight w:val="20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《建设工程质量管理条例》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1.实行电子化申报和审批。2.加快推动信息共享，不再要求申请人提供人员身份证明、社保证明、资质资格证书等材料。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1.开展“双随机、一公开”监管，依法查处违法违规行为并公开结果。2.加强信用监管，依法向社会公布建设工程质量检测机构信用状况，依法依规对失信主体开展失信惩戒。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燃气经营许可证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《城镇燃气管理条例》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省燃气管理部门；市行政审批局；县（区）燃气管理或行政审批部门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1.实行电子化申报和审批。2.不再要求申请人提供人员身份证明、社保证明、资质资格证书等材料。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1.开展“双随机、一公开”监管，通过信息公示、抽查、抽验等方式，综合运用提醒、约谈、告诫等手段，依法查处违法违规行为并公开结果。2.加强信用监管，依法依规对失信主体开展失信惩戒。</w:t>
            </w:r>
          </w:p>
        </w:tc>
      </w:tr>
      <w:tr>
        <w:trPr>
          <w:cantSplit/>
          <w:trHeight w:val="23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建设工程勘察企业资质认定（综合资质）</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建设工程勘察企业资质认定（专业甲级）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工程勘察资质证书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0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0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企业依法予以通报或撤销资质。3.加强信用监管，依法依规对失信主体开展失信惩戒。</w:t>
            </w:r>
          </w:p>
        </w:tc>
      </w:tr>
      <w:tr>
        <w:trPr>
          <w:cantSplit/>
          <w:trHeight w:val="3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建设工程设计企业资质认定（综合资质，部分行业甲级及部分专业甲级）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p>
            <w:pPr>
              <w:pStyle w:val="2"/>
              <w:spacing w:line="320" w:lineRule="exact"/>
              <w:rPr>
                <w:rFonts w:hint="eastAsia" w:ascii="仿宋" w:hAnsi="仿宋" w:eastAsia="仿宋" w:cs="仿宋"/>
                <w:color w:val="auto"/>
                <w:sz w:val="18"/>
                <w:szCs w:val="18"/>
              </w:rPr>
            </w:pP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39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建设工程设计企业资质认定（部分行业甲级、乙级，部分专业甲级、乙级，事务所）</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工程设计资质证书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《中华人民共和国建筑法》《建设工程勘察设计管理条例》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1.精简申报材料，实行电子化申报和审批。2.加快推动信息共享，不再要求申请人提供人员身份证明、社保证明、企业资质和注册人员资格证书等材料。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8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施工企业资质认定（综合资质，部分施工总承包甲级、乙级，部分专业承包）</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建筑业企业资质证书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《中华人民共和国建筑法》《建设工程安全生产管理条例》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省住建厅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工程监理企业资质认定（综合资质，部分专业甲级）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工程监理资质证书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《中华人民共和国建筑法》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住房城乡建设部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1.精简申报材料，实行电子化申报和审批。2.不再要求申请人提供人员身份证明、社保证明、企业资质和注册人员资格证书等材料。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在建工程项目实施重点监管，依法查处违法违规行为并公开结果。2.严厉打击资质申报弄虚作假行为，对弄虚作假的企业依法予以通报或撤销其资质。3.加强信用监管，依法依规对失信主体开展失信惩戒。</w:t>
            </w:r>
          </w:p>
        </w:tc>
      </w:tr>
      <w:tr>
        <w:trPr>
          <w:cantSplit/>
          <w:trHeight w:val="26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公路工程专业甲级监理资质认定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4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经营国内船舶管理业务审批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国内船舶管理业务经营许可证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船舶管理企业的年度书面检查，发现不具备经营许可条件的要依法及时处理。4.针对日常动态监管发现的普遍性问题和突出风险组织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外商投资企业经营沿海、江河、湖泊及其他通航水域水路运输审批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省水路运输部门；市交通局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1.实现办理审批“最多跑一次”。2.不再要求申请人提供营业执照，在线获取营业执照等材料。3.将审批时限由20个工作日压减至10个工作日。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管辖范围内水路运输企业的年度书面检查，发现不具备经营许可条件的要依法及时处理。4.针对日常动态监管发现的普遍性问题和突出风险组织开展专项检查。</w:t>
            </w:r>
          </w:p>
        </w:tc>
      </w:tr>
      <w:tr>
        <w:trPr>
          <w:cantSplit/>
          <w:trHeight w:val="2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公路工程专业公路机电工程专项监理资质认定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公路工程专业特殊独立大桥专项监理资质认定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公路工程专业特殊独立隧道专项监理资质认定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交通建设工程监理企业资质等级证书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《中华人民共和国公路法》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1.实现申请、审批全程网上办理并在网上公布认定条件、办理流程、审查要点，公开办理进度。2.不再要求申请人提供营业执照和业绩证明材料。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互联网+监管”，通过信息化手段强化对企业投标及履约行为的监管。3.加强信用监管，依法向社会公布公路工程监理企业信用状况，拓展信用评价结果应用范围，依法依规实行失信惩戒。4.依法及时处理投诉举报。5.发挥行业协会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省际旅客、危险品货物水路运输许可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《国内水路运输管理条例》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实现申请人办理审批“最多跑一次”。3.除需按存档要求由企业提交的证书外，不再要求提供纸质材料。4.不再要求申请人提供营业执照等材料。5.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诚信状况差、投诉举报多、受处罚警告多的经营主体提高抽查比例。2.依法及时处理投诉举报。3.加强对省内水路运输企业的年度书面检查，发现不具备经营许可条件的要依法及时处理。4.针对日常动态监管发现的普遍性问题和突出风险组织开展专项检查。</w:t>
            </w:r>
          </w:p>
        </w:tc>
      </w:tr>
      <w:tr>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设立引航机构审批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1.在网上公布审批条件和办理流程。2.将审批时限由20个工作日压减至15个工作日。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加强信用监管，依法依规建立健全诚信管理制度，依法及时向社会公布引航机构信用状况，对不严格执行引航安全标准规范的引航活动要依法及时处理。</w:t>
            </w:r>
          </w:p>
        </w:tc>
      </w:tr>
      <w:tr>
        <w:trPr>
          <w:cantSplit/>
          <w:trHeight w:val="199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设立验船机构审批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《中华人民共和国船舶和海上设施检验条例》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1.开展“双随机、一公开”监管，发现违法违规行为要依法查处并公开结果。2.加强信用监管，依法向社会公布验船机构信用状况，依法依规对失信主体开展失信惩戒。</w:t>
            </w:r>
          </w:p>
        </w:tc>
      </w:tr>
      <w:tr>
        <w:trPr>
          <w:cantSplit/>
          <w:trHeight w:val="27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国际班轮运输经营资格登记证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1.开展“双随机、一公开”监管，发现违法违规行为要依法查处并公开结果。2.依法向社会公开信用记录，对严重失信主体开展失信惩戒。3.发挥行业协会自律作用。</w:t>
            </w:r>
          </w:p>
        </w:tc>
      </w:tr>
      <w:tr>
        <w:trPr>
          <w:cantSplit/>
          <w:trHeight w:val="3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国际客船、散装液体危险品船运输业务经营审批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国际船舶运输经营许可证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及时完善更新办事指南并在网上公布审批程序、受理条件和办理标准。2.不再要求申请人提供营业执照等材料。3.放宽对自有船舶的准入条件，对已取得经营资格的航运企业，允许将出售给依法取得国家有关部门批准的融资租赁公司后、再以融资租赁方式回租的船舶认定为自有船舶。4.将审批时限由30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1.开展“双随机、一公开”监管，发现违法违规行为要依法查处并公开结果。2.依法依规对严重失信主体开展失信惩戒。3.发挥行业协会自律作用。</w:t>
            </w:r>
          </w:p>
        </w:tc>
      </w:tr>
      <w:tr>
        <w:trPr>
          <w:cantSplit/>
          <w:trHeight w:val="35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从事大陆与台湾间海上运输业务许可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台湾海峡两岸间水路运输许可证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公布审批程序、受理条件和办理标准，公开办理进度。2.不再要求大陆申请人提供营业执照等材料。3.放宽对自有船舶的准入条件，对已取得经营资格的航运企业，允许将出售给符合有关规定的融资租赁公司后、再以融资租赁方式回租的船舶认定为自有船舶。4.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1.加强港口、航运、海事部门之间的协作，实施联合监管。2.通过抽查等方式加强对地方港口、航运部门监管工作的监督检查，及时纠正问题。3.加强信用监管，依法依规对严重失信主体开展失信惩戒。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培训机构从事船员、引航员培训业务审批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船员培训许可证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取消现场核验环节，在审批过程中不再到培训机构进行现场核验。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w:t>
            </w:r>
          </w:p>
        </w:tc>
      </w:tr>
      <w:tr>
        <w:trPr>
          <w:cantSplit/>
          <w:trHeight w:val="31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公路养护作业单位资质审批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公路养护作业资质证书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《公路安全保护条例》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统一资质许可标准，打破公路养护作业单位资质地域限制，实现公路养护作业单位资质全国通用。2.实现申请、审批全程网上办理并在网上公布审批条件、办理程序和审查要点。3.不再要求申请人提供营业执照等材料，在线获取营业执照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1.开展“双随机、一公开”监管，发现违法违规行为要依法查处并公开结果。2.通过“互联网+监管”，加强对企业投标及履约行为的监管。3.加强信用监管，拓展信用评价结果应用范围，依法依规实行失信惩戒。</w:t>
            </w:r>
          </w:p>
        </w:tc>
      </w:tr>
      <w:tr>
        <w:trPr>
          <w:cantSplit/>
          <w:trHeight w:val="234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246</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道路旅客运输经营许可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市行政审批局：县（区）交通运输或行政审批部门</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不再要求申请人提供企业章程，现有营运客车行驶证、车辆技术等级评定结论、客车类型等级评定证明，已聘用或者拟聘用驾驶人员的3年内无重大以上交通责任事故证明等材料。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1.强化部门间信息共享。2.加强社会监督，向社会公开道路旅客运输企业的运输服务质量承诺，依法及时处理投诉举报。3.加强对道路旅客运输活动的监督检查，发现违法违规行为要依法查处。</w:t>
            </w:r>
          </w:p>
        </w:tc>
      </w:tr>
      <w:tr>
        <w:trPr>
          <w:cantSplit/>
          <w:trHeight w:val="1715"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247</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危险货物运输经营许可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1.强化部门间信息共享，实施跨部门联合监管，强化危险货物道路运输全过程安全管理。2.发挥行业协会自律作用。</w:t>
            </w:r>
          </w:p>
        </w:tc>
      </w:tr>
      <w:tr>
        <w:trPr>
          <w:cantSplit/>
          <w:trHeight w:val="31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放射性物品道路运输经营许可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《中华人民共和国道路运输条例》《放射性物品运输安全管理条例》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1.强化部门间信息共享，实施跨部门联合监管，强化放射性物品道路运输全过程安全管理。2.发挥行业协会自律作用。</w:t>
            </w:r>
          </w:p>
        </w:tc>
      </w:tr>
      <w:tr>
        <w:trPr>
          <w:cantSplit/>
          <w:trHeight w:val="25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国际道路旅客运输许可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《中华人民共和国道路运输条例》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1.加强部门间信息共享和联合监管，通过信息化手段对从业人员、运输车辆进行监督管理。2.依托北斗卫星导航系统车载终端，加强对有关车辆的动态监控。3.依法及时处理投诉举报。</w:t>
            </w:r>
          </w:p>
        </w:tc>
      </w:tr>
      <w:tr>
        <w:trPr>
          <w:cantSplit/>
          <w:trHeight w:val="74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道路运输经营许可证、网络预约出租汽车经营许可证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rPr>
          <w:cantSplit/>
          <w:trHeight w:val="7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出租汽车车辆运营证核发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道路运输证、网络预约出租汽车运输证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直辖市交通运输部门或者同级人民政府指定的出租汽车行政主管部门；市行政审批局；县（区）交通运输或行政审批部门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对开展出租汽车技术等级评定的地区，不再要求申请人提供技术等级评定相关材料，直接向检测机构获取车辆技术等级评定信息。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1.开展服务质量信誉考核测评，建立出租汽车经营者信用档案并依法向社会公开信用记录，依法依规对失信主体开展失信惩戒。2.依法及时处理投诉举报。3.发挥行业协会自律作用。</w:t>
            </w:r>
          </w:p>
        </w:tc>
      </w:tr>
      <w:tr>
        <w:trPr>
          <w:cantSplit/>
          <w:trHeight w:val="24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从事海员外派业务审批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海洋船舶船员服务机构资质证书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《对外劳务合作管理条例》《中华人民共和国船员条例》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交通运输部直属海事局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1.开展“双随机、一公开”监管，发现违法违规行为要依法查处并公开结果。2.加强信用监管，依法向社会公布有关企业信用记录，依法依规对失信主体开展失信惩戒。3.依法及时处理投诉举报。</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6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水利工程建设监理单位资质等级证书（乙级）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建设监理单位信用状况，依法依规建立行业黑名单制度，对失信主体加大抽查比例并开展失信惩戒。</w:t>
            </w:r>
          </w:p>
        </w:tc>
      </w:tr>
      <w:tr>
        <w:trPr>
          <w:cantSplit/>
          <w:trHeight w:val="288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水利工程质量检测单位资质认定（甲级）</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水利工程质量检测单位资质等级证书（甲级）</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1.实现申请、审批全程网上办理。2.不再要求申请人提供营业执照复印件、有关人员资格证明等材料。3.直接邮寄或由企业自取证书，实现企业“最多跑一次”。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合理确定抽查比例。2.依法及时处理投诉举报。3.加强信用监管，依法向社会公布水利工程质量检测单位（甲级）信用状况，依法依规建立行业黑名单制度，对失信主体加大抽查比例并开展失信惩戒。</w:t>
            </w:r>
          </w:p>
        </w:tc>
      </w:tr>
      <w:tr>
        <w:trPr>
          <w:cantSplit/>
          <w:trHeight w:val="45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河道（含长江）采砂许可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河道采砂许可证、长江河道采砂许可证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《中华人民共和国水法》《中华人民共和国河道管理条例》《长江河道采砂管理条例》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长江水利委员会；有关流域管理机构；省水利部门；市</w:t>
            </w:r>
            <w:r>
              <w:rPr>
                <w:rFonts w:hint="eastAsia" w:ascii="仿宋" w:hAnsi="仿宋" w:eastAsia="仿宋" w:cs="仿宋"/>
                <w:color w:val="auto"/>
                <w:kern w:val="0"/>
                <w:sz w:val="18"/>
                <w:szCs w:val="18"/>
                <w:lang w:val="en-US" w:eastAsia="zh-CN"/>
              </w:rPr>
              <w:t>行政审批局</w:t>
            </w:r>
            <w:r>
              <w:rPr>
                <w:rFonts w:hint="eastAsia" w:ascii="仿宋" w:hAnsi="仿宋" w:eastAsia="仿宋" w:cs="仿宋"/>
                <w:color w:val="auto"/>
                <w:kern w:val="0"/>
                <w:sz w:val="18"/>
                <w:szCs w:val="18"/>
              </w:rPr>
              <w:t>；县（区）水利或行政审批部门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河道采砂规划编制审批，实行年度采量控制，及时向社会公布可采区、可采期、可采量。2.对公益性采砂减少审批环节，对符合相关工程建设项目程序的，不再同时开展河道（含长江）采砂行政许可。3.采取灵活的许可实施方式，各地可结合实际采取招标等公平竞争的方式实施许可。4.鼓励和支持河砂统一开采管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落实河道采砂管理河长、水行政主管部门、现场监管和行政执法四方责任。2.开展“四不两直”暗访，加强对采砂情况的监督检查。3.长江干流实行砂石采运管理单制度，加强采砂现场及运输环节监管。4.运用卫星遥感、卫星导航定位、视频监控、无人机等技术手段进行动态监控。5.依法及时处理投诉举报。</w:t>
            </w:r>
          </w:p>
        </w:tc>
      </w:tr>
      <w:tr>
        <w:trPr>
          <w:cantSplit/>
          <w:trHeight w:val="73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水利部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省水利厅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取水许可证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《中华人民共和国水法》《取水许可和水资源费征收管理条例》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流域管理机</w:t>
            </w:r>
          </w:p>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构；省水利部门；市行政审批局；县（区）水利或行政审批部门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各类开发区、工业园区、新区和其他有条件的区域，推行水资源论证区域评估，对已实施水资源论证区域评估范围内的建设项目推行取水许可告知承诺制。2.按国务院统一部署，推广取水许可电子许可证，实现申请、审批全程网上办理。3.简化优化建设项目水资源论证管理要求，实行报告表、报告书分类管理，对取水量较小、用水工艺简单且取退水影响小的项目推行报告表管理。4.简化技术审查环节，细化明确报告书技术审查标准，报告书技术审查时限由30个工作日压减至20个工作日（不含报告书修改时间）。对报告表实行备案承诺制，不再组织技术审查，由水利部门直接审核。</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取水单位和个人取用水、有关技术单位编制报告中存在违法行为的，要依法查处并向社会公开。2.加强信用监管，将取水单位和个人的相关违法信息纳入社会征信体系，依法依规对失信主体开展失信惩戒。</w:t>
            </w:r>
          </w:p>
        </w:tc>
      </w:tr>
      <w:tr>
        <w:trPr>
          <w:cantSplit/>
          <w:trHeight w:val="18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生鲜乳收购站许可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生鲜乳收购许可证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《乳品质量安全监督管理条例》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1.开展“双随机、一公开”监管，发现违法违规行为要依法查处并公开结果。2.加强对生鲜乳收购站的监管，将其全部纳入监管监测信息系统，实时掌握收购、运营情况。</w:t>
            </w:r>
          </w:p>
        </w:tc>
      </w:tr>
      <w:tr>
        <w:trPr>
          <w:cantSplit/>
          <w:trHeight w:val="22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水产原种场的水产苗种生产许可证核发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3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农作物种子、食用菌菌种生产经营许可证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3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进出口农作物种子审批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向社会公布进出口农作物种子企业信用状况，依法依规对失信主体开展失信惩戒。</w:t>
            </w:r>
          </w:p>
        </w:tc>
      </w:tr>
      <w:tr>
        <w:trPr>
          <w:cantSplit/>
          <w:trHeight w:val="21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1.开展“双随机、一公开”监管，根据风险程度，合理确定抽查比例，对风险等级高的领域、投诉举报多的企业实施重点监管。2.强化社会监督，依法及时处理举报、投诉问题，调查处理结果向社会公开。</w:t>
            </w:r>
          </w:p>
        </w:tc>
      </w:tr>
      <w:tr>
        <w:trPr>
          <w:cantSplit/>
          <w:trHeight w:val="2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农作物种子生产经营（外商投资企业）许可证核发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外商投资农作物种子企业信用状况，依法依规对失信主体开展失信惩戒。</w:t>
            </w:r>
          </w:p>
        </w:tc>
      </w:tr>
      <w:tr>
        <w:trPr>
          <w:cantSplit/>
          <w:trHeight w:val="19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农作物种子生产经营（进出口）许可证核发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1.实现申请、受理网上办理。2.不再要求申请人提供种子检验、加工等设备清单和购置发票复印件。</w:t>
            </w:r>
          </w:p>
        </w:tc>
        <w:tc>
          <w:tcPr>
            <w:tcW w:w="3454" w:type="dxa"/>
            <w:tcBorders>
              <w:top w:val="nil"/>
              <w:left w:val="nil"/>
              <w:bottom w:val="single" w:color="auto" w:sz="4" w:space="0"/>
              <w:right w:val="single" w:color="auto" w:sz="4" w:space="0"/>
            </w:tcBorders>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进出口农作物种子企业信用状况，依法依规对失信主体开展失信惩戒。</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农作物种子质量检验机构考核证书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1.不再要求申请人提供机构设置、人员身份等证明材料。2.将人员数量要求由不少于5人压减为满足要求即可，将仪器设备种类由不少于6类压减为满足要求即可。3.将能力验证时限由90天压减为最长不超过45天。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食用菌菌种质量检验机构考核证书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1.不再要求申请人提供机构设置、人员身份等证明材料。2.将人员数量要求由不少于5人压减为满足要求即可，将仪器设备种类由不少于6类压减为满足要求即可。3.将能力验证时限由90天压减至最长不超过45天。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现场检查时重点对仪器设备完整性、检验场所安全性、有关数据处理和保存合规性等进行检查。2.委托有关技术机构，对检验单位定期开展检测能力、仪器设备、管理程序等方面的能力验证。3.加强监测，针对发现的种子质量检验普遍问题和突出风险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转基因农作物种子生产经营许可证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《中华人民共和国种子法》《农业转基因生物安全管理条例》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实行承诺备案和申请资料留存备查的企业实施重点监管，严肃查处弄虚作假骗取许可行为。2.加强信用监管，依法向社会公布农作物种子企业信用状况，依法依规对失信主体开展失信惩戒。</w:t>
            </w:r>
          </w:p>
        </w:tc>
      </w:tr>
      <w:tr>
        <w:trPr>
          <w:cantSplit/>
          <w:trHeight w:val="16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1.加强行业监测，将风险隐患较多的企业列入重点监管对象，确保不发生重大风险。2.依法及时处理投诉举报，并将调查处理结果向社会公开。</w:t>
            </w:r>
          </w:p>
        </w:tc>
      </w:tr>
      <w:tr>
        <w:trPr>
          <w:cantSplit/>
          <w:trHeight w:val="19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转基因水产苗种生产经营许可证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1.开展“双随机、一公开”监管，发现违法违规行为要依法查处。2.对风险等级高、投诉举报多的企业实施重点监管。3.依法及时处理举报、投诉问题，处理结果依法向社会公开并记入企业信用记录。</w:t>
            </w:r>
          </w:p>
        </w:tc>
      </w:tr>
      <w:tr>
        <w:trPr>
          <w:cantSplit/>
          <w:trHeight w:val="15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农业转基因生物加工许可证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《农业转基因生物安全管理条例》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不再要求申请人提供加工原料的《农业转基因生物安全证书》复印件。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1.开展“双随机、一公开”监管，发现违法违规行为要依法查处并公开结果。2.畅通投诉举报渠道，及时调查处理并将处理结果向社会公开。3.加强行业自律。</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highlight w:val="none"/>
              </w:rPr>
              <w:t>271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种畜禽生产经营许可证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省农业农村部门；市行政审批局；县（区）农业农村或行政审批部门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213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蜂种生产经营许可证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20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蚕种生产经营许可证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《中华人民共和国畜牧法》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1.开展“双随机、一公开”监管，根据风险程度，合理确定抽查比例，对风险等级高的领域、投诉举报多的企业实施重点监管。2.强化社会监督，依法及时处理投诉举报，调查处理结果向社会公开。</w:t>
            </w:r>
          </w:p>
        </w:tc>
      </w:tr>
      <w:tr>
        <w:trPr>
          <w:cantSplit/>
          <w:trHeight w:val="49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农产品质量安全检测机构考核合格证书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《中华人民共和国农产品质量安全法》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授权证明等材料，上级或者有关部门批准机构设置的证明文件，已通过计量认证的认证证书及附表，技术人员资格证明材料（包括学历证书、省级以上农业农村部门考核证明、中级以上技术职称证书）、技术负责人和质量负责人技术职称证书等证明材料。2.将审批时限由20个工作日（现场评审不超过2个月）压减至15个工作日（现场评审不超过2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合理确定抽查比例。2.对精简的材料及其证明事项，在现场评审或监督检查中予以重点核查，发现虚假或不符合条件的机构要依法处理。3.加强监测，针对发现的普遍问题和突出风险开展专项检查。</w:t>
            </w:r>
          </w:p>
        </w:tc>
      </w:tr>
      <w:tr>
        <w:trPr>
          <w:cantSplit/>
          <w:trHeight w:val="25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农药登记试验单位证书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向社会公布农药登记试验单位信用状况，依法依规对失信主体开展失信惩戒。</w:t>
            </w:r>
          </w:p>
        </w:tc>
      </w:tr>
      <w:tr>
        <w:trPr>
          <w:cantSplit/>
          <w:trHeight w:val="251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1.实现申请、审批网上办理。2.不再要求申请人同时提供申请材料的纸质文件和电子文档。</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农药生产企业信用状况，依法依规对失信主体开展失信惩戒。</w:t>
            </w:r>
          </w:p>
        </w:tc>
      </w:tr>
      <w:tr>
        <w:trPr>
          <w:cantSplit/>
          <w:trHeight w:val="48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在首次登记时，不再要求申请人提供产品安全数据单，将申请人资质、申请人资料真实性声明合并到农药登记申请表。3.在延续登记时，不再要求申请人提供加盖公章的农药登记证复印件，产品年生产量、销售量、销售额等情况。4.在变更登记时，不再要求申请人提供加盖公章的农药登记证复印件和产品安全数据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1.开展“双随机、一公开”监管，发现违法违规行为要依法查处。2.及时处理有关投诉举报，调查处理结果向社会公开。3.加强信用监管，依法向社会公布有关单位信用状况，依法依规对失信主体开展失信惩戒。</w:t>
            </w:r>
          </w:p>
        </w:tc>
      </w:tr>
      <w:tr>
        <w:trPr>
          <w:cantSplit/>
          <w:trHeight w:val="743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肥料登记（除大量元素水溶肥料、中量元素水溶肥料、微量元素水溶肥料、农用氯化钾镁、农用硫酸钾镁、复混肥料、掺混肥料外）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肥料登记证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《中华人民共和国农业法》《中华人民共和国农产品质量安全法》《中华人民共和国土壤污染防治法》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1.在肥料首次登记和变更登记时，不再要求申请人提供肥料产品登记申请单。2.在续展登记时，不再要求申请人提供肥料产品登记申请单和加盖申请人公章的肥料登记证复印件。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行业监测，畅通投诉举报渠道，将风险隐患、投诉举报较多的企业列入重点监管对象。3.加强信用监管，依法向社会公布肥料生产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从事饲料、饲料添加剂生产的企业审批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饲料生产许可证、饲料添加剂生产许可证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《饲料和饲料添加剂管理条例》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不再要求申请人提供人员资质证明、营业执照等材料。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科学确定监督抽查比例，确保不发生系统性风险。2.针对行业突出问题和重大风险点，开展饲料质量安全风险预警监测，及时发现隐患并处置。3.强化社会监督，依法及时处理投诉举报。</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生猪定点屠宰厂（场）设置审查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生猪定点屠宰证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《生猪屠宰管理条例》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不再要求申请人提供动物防疫条件合格证和符合环境保护要求的污染防治设施清单及相关证明材料。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的风险程度、信用水平，科学确定抽查比例。2.强化社会监督，依法及时处理投诉举报。3.加强行业监测，针对发现的普遍性问题和突出风险开展专项行动，确保不发生系统性、区域性风险。4.强化政府内部信息共享和核查。</w:t>
            </w:r>
          </w:p>
        </w:tc>
      </w:tr>
      <w:tr>
        <w:trPr>
          <w:cantSplit/>
          <w:trHeight w:val="27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采集、出售、收购国家二级保护野生植物（农业类）审批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国家重点保护野生植物采集许可证，出售、收购国家二级保护野生植物许可文件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对风险等级较高、信用等级较低的企业实施重点监管。4.依法及时处理投诉举报。</w:t>
            </w:r>
          </w:p>
        </w:tc>
      </w:tr>
      <w:tr>
        <w:trPr>
          <w:cantSplit/>
          <w:trHeight w:val="366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人工繁育国家重点保护水生野生动物审批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中华人民共和国水生野生动物人工繁育许可证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rPr>
          <w:cantSplit/>
          <w:trHeight w:val="37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出售、购买、利用国家重点保护水生野生动物及其制品审批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中华人民共和国水生野生动物经营利用许可证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全国一网通办，申请人“最多跑一次”。2.对在“双随机、一公开”监管中未发现问题且年办理10批次以上、材料均合格的申请人，采用申请材料容缺后补方式办理审批。3.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1.开展“双随机、一公开”监管，发现违法违规行为要依法查处并公开结果。2.对风险等级较高、信用等级较低的企业实施重点监管。3.依法及时处理投诉举报。</w:t>
            </w:r>
          </w:p>
        </w:tc>
      </w:tr>
      <w:tr>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1.实现申请、审批网上办理。2.将审批时限由40个工作日压减至35个工作日。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结合兽药质量监管抽检和风险监测计划，适当增加抽检数量和频次，发现违法违规行为要依法查处并及时公布结果。2.强化社会监督，依法及时处理投诉举报，调查处理结果向社会公开。</w:t>
            </w:r>
          </w:p>
        </w:tc>
      </w:tr>
      <w:tr>
        <w:trPr>
          <w:cantSplit/>
          <w:trHeight w:val="17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兽药经营许可证核发（生物制品类）</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《兽药管理条例》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1.实现申请、审批网上办理，提高服务便民化水平。2.将审批时限由30个工作日压减至25个工作日。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1.开展“双随机、一公开”监管，对风险等级高、投诉举报多的企业增加抽检数量和频次，实施重点监管。2.强化社会监督，依法及时处理举报、投诉问题，调查处理结果向社会公开。</w:t>
            </w:r>
          </w:p>
        </w:tc>
      </w:tr>
      <w:tr>
        <w:trPr>
          <w:cantSplit/>
          <w:trHeight w:val="18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动植物苗种进（出）口审批表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1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水产苗种进出口审批表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21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县（区）农业农村或行政审批部门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rPr>
          <w:cantSplit/>
          <w:trHeight w:val="25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渔业捕捞许可证核发（涉外渔业）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渔业捕捞许可证（涉外渔业）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1.实现申请、审批全程网上办理。2.对能够通过有关信息系统或者部门间信息共享核查的证明材料，不再要求申请人提供。</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1.开展“双随机、一公开”监管，发现违法违规行为要依法查处并及时公布查处结果。2.强化社会监督，依法及时处理投诉举报，调查处理结果向社会公开。</w:t>
            </w:r>
          </w:p>
        </w:tc>
      </w:tr>
      <w:tr>
        <w:trPr>
          <w:cantSplit/>
          <w:trHeight w:val="27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远洋渔业项目审批通知</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《中华人民共和国渔业法》《中华人民共和国渔业法实施细则》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不再要求申请人提供营业执照、渔业船舶检验证书、渔业船舶登记证等材料，通过部门间信息共享获取相关信息。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远洋渔船的生产情况报告、标准化捕捞日志、渔船船位监测、派遣国家观察员、签发合法捕捞证明等纳入监管内容，实现远洋渔船全过程动态监管。2.畅通投诉举报渠道，对涉嫌违法违规的远洋渔业企业和渔船组织开展调查，发现违法违规行为要依法查处。</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农业农村部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省农业农村厅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水域滩涂养殖证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《中华人民共和国渔业法》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市</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rPr>
              <w:t>县人民政府</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1.实现全国一网通办，申请人“最多跑一次”。2.不再要求申请人提供营业执照、法定代表人身份证等材料，通过部门间信息共享获取相关信息。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1.开展“双随机、一公开”监管，发现违法违规行为要依法查处。2.对风险等级高、投诉举报多的企业实施重点监管。3.依法及时处理投诉举报，处理结果依法向社会公开并记入企业信用记录。</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援外项目实施企业资格认定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对纳税信用等级为A级的申请企业，不再要求提供税务部门出具的完税证明。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1.建立援外项目实施企业信用记录，依法依规对失信主体开展失信惩戒。2.开展重点审计，对重点关注企业、重点项目实施企业进行审计。</w:t>
            </w:r>
          </w:p>
        </w:tc>
      </w:tr>
      <w:tr>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对外劳务合作经营资格证书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《中华人民共和国对外贸易法》《对外劳务合作管理条例》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1.开展“双随机、一公开”监管，发现违法违规行为要依法查处并公开结果。2.支持行业协会发挥自律作用。</w:t>
            </w:r>
          </w:p>
        </w:tc>
      </w:tr>
      <w:tr>
        <w:trPr>
          <w:cantSplit/>
          <w:trHeight w:val="746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成品油零售经营批准证书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取消申请企业提交成品油供应渠道法律文件相关要求。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严格落实行业监管职责。要求有关企业建立购销和出入库台账制度。开展“双随机、一公开”监管、信用监管，发现违法违规行为要依法处理或者提请有关部门予以查处。2.建立跨部门联合监管机制，统筹配置行政处罚职能和执法资源，加强协同监管。定期组织开展专项检查。建立企业信用记录并纳入信用信息共享平台，对违法失信企业依法实施失信惩戒。3.公安、自然资源、生态环境、住房和城乡建设、交通运输、商务、应急管理、税务、市场监管、能源等部门按职责依法依规加强监管，承担安全生产监管责任的部门切实履行监管责任、守牢安全底线。4.</w:t>
            </w:r>
            <w:r>
              <w:rPr>
                <w:rFonts w:hint="eastAsia" w:ascii="仿宋" w:hAnsi="仿宋" w:eastAsia="仿宋" w:cs="仿宋"/>
                <w:color w:val="auto"/>
                <w:kern w:val="0"/>
                <w:sz w:val="18"/>
                <w:szCs w:val="18"/>
                <w:lang w:eastAsia="zh-CN"/>
              </w:rPr>
              <w:t>登记</w:t>
            </w:r>
            <w:r>
              <w:rPr>
                <w:rFonts w:hint="eastAsia" w:ascii="仿宋" w:hAnsi="仿宋" w:eastAsia="仿宋" w:cs="仿宋"/>
                <w:color w:val="auto"/>
                <w:kern w:val="0"/>
                <w:sz w:val="18"/>
                <w:szCs w:val="18"/>
              </w:rPr>
              <w:t>部门要将新登记经营范围涉及成品油零售的企业信息推送至有关部门。商务部门要将改革前取得许可的成品油零售企业信息推送至有关部门。</w:t>
            </w:r>
            <w:r>
              <w:rPr>
                <w:rFonts w:hint="eastAsia" w:ascii="仿宋" w:hAnsi="仿宋" w:eastAsia="仿宋" w:cs="仿宋"/>
                <w:color w:val="auto"/>
                <w:kern w:val="0"/>
                <w:sz w:val="18"/>
                <w:szCs w:val="18"/>
                <w:lang w:eastAsia="zh-CN"/>
              </w:rPr>
              <w:t>指定</w:t>
            </w:r>
            <w:r>
              <w:rPr>
                <w:rFonts w:hint="eastAsia" w:ascii="仿宋" w:hAnsi="仿宋" w:eastAsia="仿宋" w:cs="仿宋"/>
                <w:color w:val="auto"/>
                <w:kern w:val="0"/>
                <w:sz w:val="18"/>
                <w:szCs w:val="18"/>
              </w:rPr>
              <w:t>部门要将发现的超经营范围经营或者无照经营信息推送至有关部门。有关部门要充分运用共享信息，加强监管执法。</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进出口国营贸易经营资格认定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《中华人民共和国对外贸易法》《中华人民共和国货物进出口管理条例》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商务部（部分品种需会同国务院有关部门）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推动压减申请材料，优化审批流程。</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及时公布检查情况，发现问题向企业提出整改要求并跟踪整改结果，发现违法行为依法实施行政处罚，将查处结果纳入企业信用记录。2.加强信用监管，依法依规对失信主体开展失信惩戒。</w:t>
            </w:r>
          </w:p>
        </w:tc>
      </w:tr>
      <w:tr>
        <w:trPr>
          <w:cantSplit/>
          <w:trHeight w:val="19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供港澳活畜禽经营权审批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《中华人民共和国货物进出口管理条例》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1.审批时不再征求海关总署和中国食品土畜进出口商会意见。2.不再要求申请人提供海关总署供港澳活畜禽备案养殖场资格证书。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1.推进部门间信息共享和协同监管体系建设。2.加强信用监管，将供港澳活畜禽企业经营情况记入信用记录，依法依规实施失信惩戒。</w:t>
            </w:r>
          </w:p>
        </w:tc>
      </w:tr>
      <w:tr>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报废机动车回收（拆解）企业资质认定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资质认定书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《报废机动车回收管理办法》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不再将注册资本、场地面积、企业从业人员人数等作为报废机动车回收（拆解）企业资质认定条件。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1.加强部门间信息共享和协同监管。2.市县商务部门会同相关部门开展“双随机、一公开”监管，对投诉举报多的单位实施重点监管。3.发挥行业协会自律作用。</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直销企业及其分支机构设立和变更审批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商务部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1.制定并公开办事指南，在网上公开审批依据、申请条件、申请材料、办理流程和办理结果。2.推进“互联网+政务服务”，推动部门间信息共享应用。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1.探索建立以信用监管为基础的行业监管体制。2.配合有关部门做好对严重违法违规企业的查处。</w:t>
            </w:r>
          </w:p>
        </w:tc>
      </w:tr>
      <w:tr>
        <w:trPr>
          <w:cantSplit/>
          <w:trHeight w:val="23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299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《互联网上网服务营业场所管理条例》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1.取消总量限制和布局要求。2.取消对互联网上网服务营业场所的计算机数量限制。3.不再要求申请人提供资金信用证明等材料。4.将审批时限由20个工作日压减至13个工作日。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16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歌舞娱乐场所设立审批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县（区）文化旅游或行政审批部门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外商投资娱乐场所设立审批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《娱乐场所管理条例》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经营性互联网文化单位设立审批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网络文化经营许可证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1.实现申请、审批全程网上办理。2.将审批时限由20个工作日压减至13个工作日。3.网上公布审批程序、受理条件、办理标准，公开办理进度。</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78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设立社会艺术水平考级机构审批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社会艺术水平考级资格证书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1.不再要求申请人提供营业执照、收费项目和标准等材料。2.将专家论证环节由3个月压减至1个月。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对艺术水平考级行业的监测，针对发现的普遍性问题和突出风险开展专项检查。3.加强信用监管，依法向社会公布艺术水平考级机构信用状况。</w:t>
            </w:r>
          </w:p>
        </w:tc>
      </w:tr>
      <w:tr>
        <w:trPr>
          <w:cantSplit/>
          <w:trHeight w:val="21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外商投资演出场所经营单位设立审批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49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81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台湾地区投资者在大陆投资设立合资、合作经营的演出场所经营单位审批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16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外商投资演出经纪机构设立审批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29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港、澳地区投资者在内地投资设立合资、合作、独资经营的演出经纪机构的审批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台湾地区投资者在大陆投资设立合资、合作经营的演出经纪机构的审批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港、澳服务提供者在内地设立内地方控股合资演出团体审批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《营业性演出管理条例》《内地与香港关于建立更紧密经贸关系的安排》《内地与澳门关于建立更紧密经贸关系的安排》</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1.开展“双随机、一公开”监管，发现违法违规行为要依法查处。2.加强信用监管，依法依规对失信主体开展失信惩戒。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外商投资旅行社业务许可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rPr>
          <w:cantSplit/>
          <w:trHeight w:val="18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旅行社经营出国旅游业务审批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边境旅游业务等违法违规行为要依法查处。2.加强信用监管，依法依规对失信主体开展失信惩戒。</w:t>
            </w:r>
          </w:p>
        </w:tc>
      </w:tr>
      <w:tr>
        <w:trPr>
          <w:cantSplit/>
          <w:trHeight w:val="17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旅行社经营赴港澳旅游业务审批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《中华人民共和国旅游法》《旅行社条例》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1.开展“双随机、一公开”监管，发现未经许可经营旅行社业务，出租、出借、转让业务经营许可证，未经许可经营出境旅游等违法违规行为要依法查处。2.加强信用监管，依法依规对失信主体开展失信惩戒。</w:t>
            </w:r>
          </w:p>
        </w:tc>
      </w:tr>
      <w:tr>
        <w:trPr>
          <w:cantSplit/>
          <w:trHeight w:val="17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文化和旅游部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旅行社经营边境游资格审批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旅行社业务经营许可证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《中华人民共和国旅游法》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省文旅厅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1.实现申请、审批全程网上办理。2.网上公布审批程序、受理条件、办理标准，公开办理进度。</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未经许可经营旅行社业务，出租、出借、转让业务经营许可证，未经许可经营边境旅游业务等违法违规行为要依法查处。2.加强信用监管，依法依规对失信主体开展失信惩戒。</w:t>
            </w:r>
          </w:p>
        </w:tc>
      </w:tr>
      <w:tr>
        <w:trPr>
          <w:cantSplit/>
          <w:trHeight w:val="19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饮用水供水单位卫生许可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《中华人民共和国传染病防治法》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不再要求申请人提供从业人员健康体检合格证明。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1.开展“双随机、一公开”监管，发现违法违规行为要依法查处。2.强化部门协同监管，卫生健康部门向供水主管部门通报饮用水供水单位监督检查情况。3.畅通投诉举报渠道，依法及时处理投诉举报。</w:t>
            </w:r>
          </w:p>
        </w:tc>
      </w:tr>
      <w:tr>
        <w:trPr>
          <w:cantSplit/>
          <w:trHeight w:val="46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个人剂量监测、放射防护器材和含放射性产品检测、医疗机构放射性危害评价等技术服务机构认定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放射卫生技术服务机构资质证书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不再要求申请人提供单位简介、质量管理手册和程序文件目录等材料。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1.开展“双随机、一公开”监管，发现违法违规行为的要依法查处并公开结果。2.依法及时处理投诉举报。</w:t>
            </w:r>
          </w:p>
        </w:tc>
      </w:tr>
      <w:tr>
        <w:trPr>
          <w:cantSplit/>
          <w:trHeight w:val="28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设置戒毒医疗机构或者医疗机构从事戒毒治疗业务许可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医疗机构执业许可证（副本备注“戒毒医疗服务”）</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《中华人民共和国禁毒法》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1.对医疗机构开展定期校验，对医疗机构的戒毒治疗活动加强监督，发现问题要及时依法处理。2.加强对戒毒诊疗新技术、新项目的临床管理。</w:t>
            </w:r>
          </w:p>
        </w:tc>
      </w:tr>
      <w:tr>
        <w:trPr>
          <w:cantSplit/>
          <w:trHeight w:val="29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医疗机构开展人类辅助生殖技术许可批件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《国务院对确需保留的行政审批项目设定行政许可的决定》《计划生育技术服务管理条例》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人类辅助生殖技术许可的医疗机构名单，以及本省（区、市）人类辅助生殖技术应用规划落实情况，并在接到新的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辅助生殖技术服务机构相关信息。2.建立健全质量控制体系，加强质量安全管理。3.开展“双随机、一公开”监管，发现违法违规行为要依法查处并公开结果。4.加强行业自律和社会监督。5.依法及时处理投诉举报。</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母婴保健专项技术服务许可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母婴保健技术服务执业许可证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《中华人民共和国母婴保健法》《中华人民共和国母婴保健法实施办法》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w:t>
            </w:r>
            <w:r>
              <w:rPr>
                <w:rFonts w:hint="eastAsia" w:ascii="仿宋" w:hAnsi="仿宋" w:eastAsia="仿宋" w:cs="仿宋"/>
                <w:color w:val="auto"/>
                <w:kern w:val="0"/>
                <w:sz w:val="18"/>
                <w:szCs w:val="18"/>
                <w:lang w:eastAsia="zh-CN"/>
              </w:rPr>
              <w:t>行政审批局</w:t>
            </w:r>
            <w:r>
              <w:rPr>
                <w:rFonts w:hint="eastAsia" w:ascii="仿宋" w:hAnsi="仿宋" w:eastAsia="仿宋" w:cs="仿宋"/>
                <w:color w:val="auto"/>
                <w:kern w:val="0"/>
                <w:sz w:val="18"/>
                <w:szCs w:val="18"/>
              </w:rPr>
              <w:t>；县（区）行政审批部门</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将开展婚前医学检查、产前移植肾破裂母婴保健专项技术服务机构审批权限下放至县级行政审批部门。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母婴保健专项技术质量控制。2.开展“双随机、一公开”监管，发现违法违规行为要依法查处并公开结果。3.加强产前诊断机构对产前筛查机构的人员培训、技术指导和质量控制。4.加强信用监管，依法向社会公布母婴保健专项技术服务机构信用状况。5.依法及时处理投诉举报。6.加强母婴保健专项技术服务行业自律。</w:t>
            </w:r>
          </w:p>
        </w:tc>
      </w:tr>
      <w:tr>
        <w:trPr>
          <w:cantSplit/>
          <w:trHeight w:val="204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医疗机构人体器官移植执业资格认定审批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医疗机构执业许可证（人体器官移植诊疗科目登记）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《人体器官移植条例》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1.实现网上提交申请材料。2.将专家评审时限由90天压减至60天。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省卫健委审批行为接受国家卫生健康委监管。2.健全以信息化监管为主、随机飞行检查为辅的监管机制，针对薄弱领域和存在的问题进行重点监管。3.会同有关部门完善防范打击组织出卖人体器官违法犯罪数据资源共享机制和联动机制。</w:t>
            </w:r>
          </w:p>
        </w:tc>
      </w:tr>
      <w:tr>
        <w:trPr>
          <w:cantSplit/>
          <w:trHeight w:val="7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医疗机构（三级医院、三级妇幼保健院、急救中心、急救站、临床检验中心、中外合资合作医疗机构、港澳台独资医疗机构）设置审批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设置医疗机构批准书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省卫生健康部门；市卫健委；县（区）卫生健康或行政审批部门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加快推广电子化审批。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28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adjustRightInd/>
              <w:spacing w:line="320" w:lineRule="exact"/>
              <w:jc w:val="lef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医疗机构（不含诊所）执业登记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省卫生健康部门；市行政审批局；县（区）卫生健康或行政审批部门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1.取消医疗机构验资证明。2.实现医疗机构电子化注册登记。</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1.对医疗机构开展定期校验，加强对医疗机构执业活动的监管，发现违法违规行为要依法查处并公开结果。2.组织开展医疗机构评审。3.依法及时处理投诉举报。</w:t>
            </w:r>
          </w:p>
        </w:tc>
      </w:tr>
      <w:tr>
        <w:trPr>
          <w:cantSplit/>
          <w:trHeight w:val="23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社会办医疗机构甲类大型医用设备配置许可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甲类大型医用设备配置许可证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1.实现申请、审批全程网上办理并在网上公布审批程序、受理条件、评审标准，公开办理进度。2.不再要求申请人提供医疗机构执业许可证副本复印件。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1.加强医疗机构执业活动监管，发现违法违规行为要依法查处并公开结果。2.加强信用监管，向社会公布配置甲类大型医用设备医疗机构的信用状况。3.依法及时处理投诉举报。4.加强行业自律。</w:t>
            </w:r>
          </w:p>
        </w:tc>
      </w:tr>
      <w:tr>
        <w:trPr>
          <w:cantSplit/>
          <w:trHeight w:val="22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职业卫生技术服务机构乙级资质认可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职业卫生技术服务机构资质证书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《中华人民共和国职业病防治法》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1.将现有甲级、乙级、丙级资质整合为一级资质，整合后由省卫健委负责审批，执业地域范围扩展至全国。2.取消设区的市级卫生健康部门初审环节。3.取消对注册资金和固定资产的要求。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血站（含脐带血造血干细胞库）设立及执业审批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脐带血造血干细胞库设置批准书、血站执业许可证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《中华人民共和国献血法》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rPr>
          <w:cantSplit/>
          <w:trHeight w:val="2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单采血浆站设置审批及许可证核发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单采血浆许可证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《血液制品管理条例》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1.实现网上提交申请材料。2.将审批时限由20个工作日压减至15个工作日。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1.开展“双随机、一公开”监管，发现违法违规行为要依法查处并公开结果。2.利用信息化手段加强监管。3.依法及时处理投诉举报。</w:t>
            </w:r>
          </w:p>
        </w:tc>
      </w:tr>
      <w:tr>
        <w:trPr>
          <w:cantSplit/>
          <w:trHeight w:val="271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医疗机构设置人类精子库审批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人类精子库批准证书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省卫健委</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国家卫生健康委指导省卫健委每半年1次向社会公布已取得设置人类精子库许可的医疗机构名单，以及本省（区、市）人类精子库应用规划落实情况，并在接到新的设置申请后1个月内向社会公开申请机构信息。</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有关信息系统，及时更新公布人类精子库相关信息。2.建立健全质量控制体系，加强质量安全管理。3.开展“双随机、一公开”监管，发现违法违规行为要依法查处并公开结果。4.加强行业自律和社会监督。5.依法及时处理投诉举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海洋石油天然气企业安全生产许可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1.实现申请、审批全程网上办理。2.不再要求申请人提交海洋石油特种设备合格检测报告并取得安全使用证或安全标志。</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海上石油生产设施设备的建造、安装、使用发证检验制度，指导第三方中介机构开展自律管理。2.压实企业安全生产主体责任，强化自身日常监督检查，及时查处违法违规行为。3.强化对从事海洋石油生产企业的安全监管，发现问题依法严肃查处。4.健全安全生产黑名单制度，对失信企业及其有关人员开展失信惩戒。</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安全生产检测检验机构资质证书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将安全生产检测检验机构取得法定计量认证作为前置条件。2.推行法定代表人承诺、公司承诺管理，对申请材料真实性、固定资产等实行告知承诺。3.依托有关平台，提供统一信息查询服务，便于机构跨区域从业和属地监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生产检测检验机构有关信息的共享和公开，接受社会监督。3.发挥行业组织自律作用，完善技术仲裁工作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安全评价机构资质认可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安全评价机构资质证书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《中华人民共和国安全生产法》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省应急厅（省地方煤矿安监局）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1.加快推动信息共享，不再要求申请人提供安全工程师等人员资格证明材料，实行联网查询。2.推行法定代表人承诺、公司承诺管理，对申请材料真实性、固定资产、办公面积等实行告知承诺。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1.开展“双随机、一公开”监管和信用监管，加强执法监督，依法依规对失信主体实行失信惩戒。2.加强对安全评价机构有关信息的共享和公开，接受社会监督。3.发挥行业组织自律作用，完善技术仲裁工作机制。</w:t>
            </w:r>
          </w:p>
        </w:tc>
      </w:tr>
      <w:tr>
        <w:trPr>
          <w:cantSplit/>
          <w:trHeight w:val="25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1.开展“双随机、一公开”监管，发现违法违规行为要依法严查重处并公开结果。2.加强信用监管，依法向社会公布第一类非药品类易制毒化学品生产企业信用状况，依法依规对失信主体开展失信惩戒。</w:t>
            </w:r>
          </w:p>
        </w:tc>
      </w:tr>
      <w:tr>
        <w:trPr>
          <w:cantSplit/>
          <w:trHeight w:val="26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第一类非药品类易制毒化学品经营许可证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1.开展“双随机、一公开”监管，发现违法违规行为要依法严查重处并公开结果。2.加强信用监管，依法向社会公布第一类非药品类易制毒化学品经营企业信用状况，依法依规对失信主体开展失信惩戒。</w:t>
            </w:r>
          </w:p>
        </w:tc>
      </w:tr>
      <w:tr>
        <w:trPr>
          <w:cantSplit/>
          <w:trHeight w:val="216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安全生产许可证（危险化学品）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1.开展“双随机、一公开”监管，发现违法违规行为要依法严查重处并公开结果。2.加强信用监管，依法向社会公布危险化学品生产企业信用状况，依法依规对失信主体开展失信惩戒。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市应急局；县（区）应急部门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1.开展“双随机、一公开”监管，发现违法违规行为要依法严查重处并公开结果。2.加强信用监管，依法向社会公布危险化学品经营企业信用状况，依法依规对失信主体开展失信惩戒。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1.开展“双随机、一公开”监管，发现违法违规行为要依法严查重处并公开结果。2.加强信用监管，依法向社会公布危险化学品使用企业信用状况，依法依规对失信主体开展失信惩戒。</w:t>
            </w:r>
          </w:p>
        </w:tc>
      </w:tr>
      <w:tr>
        <w:trPr>
          <w:cantSplit/>
          <w:trHeight w:val="41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新建、改建、扩建生产、储存危险化学品（包括使用长输管道输送危险化学品）建设项目安全条件审查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危险化学品建设项目安全条件审查意见书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《危险化学品安全管理条例》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应急部；省应急部门；市应急局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1.实现申请、审批全程网上办理。2.将审批时限由45个工作日压减至30个工作日。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1.开展“双随机、一公开”监管，发现违法违规行为要依法严查重处并公开结果。2.加强信用监管，依法依规对失信主体开展失信惩戒。</w:t>
            </w:r>
          </w:p>
        </w:tc>
      </w:tr>
      <w:tr>
        <w:trPr>
          <w:cantSplit/>
          <w:trHeight w:val="3323"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338</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经营个人征信业务的征信机构审批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个人征信业务经营许可证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信息平台。2.对许可证件有效期限内未发生行政处罚、责任事故、被列入失信被执行人名单的征信机构，在许可证书有效期满时自愿承诺符合相关审批要求的，实行直接换证（但不得连续两次申请直接换证）。</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rPr>
          <w:cantSplit/>
          <w:trHeight w:val="21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境外征信机构在境内经营征信业务审批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关于境外征信机构在境内经营征信业务批复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《征信业管理条例》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1.实现申请、审批全程网上办理，并将审批信息统一归集至有关数据平台。2.不再要求申请人提供在申请注册环节已经提交的申请材料，压减审批材料数量30%以上。</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发现违法违规行为要依法查处并公开结果。3.加强对征信机构的现场检查和非现场监测，确保不发生系统性金融风险。</w:t>
            </w:r>
          </w:p>
        </w:tc>
      </w:tr>
      <w:tr>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银行卡清算机构准入</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银行卡清算业务许可证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《国务院关于实施银行卡清算机构准入管理的决定》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申请人对董事和高级管理人员无犯罪证明、未受行政处罚证明等自愿作出承诺的，不再要求申请人提供有关部门证明材料。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完善持牌机构管理、交易转接合作管理、银行卡清算业务管理等制度，明确监管事项和报告事项，加强对企业的日常监管。</w:t>
            </w:r>
          </w:p>
        </w:tc>
      </w:tr>
      <w:tr>
        <w:trPr>
          <w:cantSplit/>
          <w:trHeight w:val="240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银行间债券市场结算代理人审批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b/>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rPr>
          <w:cantSplit/>
          <w:trHeight w:val="244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商业银行、信用社代理支库业务审批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代理支库业务资格证书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中国人民银行副省级城市中心支行以上分支机构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1.将审批时限由20个工作日压减至15个工作日。2.不再要求申请人提供经营金融业务许可证复印件。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1.开展“双随机、一公开”监管，将代理支库业务检查纳入综合执法检查，发现违法违规行为要依法查处。2.推广国库会计数据集中系统应用。</w:t>
            </w:r>
          </w:p>
        </w:tc>
      </w:tr>
      <w:tr>
        <w:trPr>
          <w:cantSplit/>
          <w:trHeight w:val="25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国库集中收付代理银行资格认定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准予行政许可决定书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中国人民银行各级机构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1.将许可证件有效期由2年延长至5年。2.将审批时限由20个工作日压减至15个工作日。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开展“双随机、一公开”监管、专项检查等，依法处罚违法行为。</w:t>
            </w:r>
          </w:p>
        </w:tc>
      </w:tr>
      <w:tr>
        <w:trPr>
          <w:cantSplit/>
          <w:trHeight w:val="23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黄金及其制品进出口审批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黄金及黄金制品进出口准许证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中国人民银行总行及人行太原中心支行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实施“互联网+监管”，对接有关信息平台进行有效监管。</w:t>
            </w:r>
          </w:p>
        </w:tc>
      </w:tr>
      <w:tr>
        <w:trPr>
          <w:cantSplit/>
          <w:trHeight w:val="23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进入全国银行间债券市场备案</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开展“双随机、一公开”监管，根据不同风险程度、信用水平，合理确定抽查比例，对入市机构进行合格性评估。</w:t>
            </w:r>
          </w:p>
        </w:tc>
      </w:tr>
      <w:tr>
        <w:trPr>
          <w:cantSplit/>
          <w:trHeight w:val="26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人民银行太原中心支行</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支付业务许可证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《中华人民共和国中国人民银行法》《非金融机构支付服务管理办法》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中国人民银行总行</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不再要求申请人提供验资证明等材料。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1.开展“双随机、一公开”监管，发现违法违规行为要依法查处并公开结果。2.加强信用监管，建立分类评级机制，根据评级结果采取差异化监管措施。3.依法及时处理投诉举报。4.支持行业协会发挥自律作用。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口岸卫生许可证（涉及食品、饮用水）核发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国境口岸卫生许可证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《中华人民共和国国境卫生检疫法实施细则》</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主管海关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1.严格执行有关法律法规和标准，开展“双随机、一公开”监管，发现违法违规行为要依法查处并公开结果。2.加强信用监管，依法向社会公布企业信用状况，依法依规对失信主体开展失信惩戒。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免税商店设立审批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1.对于口岸进、出境免税商店的设立，由拟设地直属海关代为接收申请文件并完成实地检查，将结果反馈海关总署。2.实现申请、审批全程网上办理。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保税物流中心（A型）注册登记证书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98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保税物流中心（B型）注册登记证书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海关总署会同财政部、税务总局、国家外汇局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每半年1次公布存量保税物流中心（B型）情况。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开展“双随机、一公开”监管、跨部门联合监管等，对经营企业加强监管，发现违法违规行为要依法查处。</w:t>
            </w:r>
          </w:p>
        </w:tc>
      </w:tr>
      <w:tr>
        <w:trPr>
          <w:cantSplit/>
          <w:trHeight w:val="17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出口监管仓库注册登记证书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4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保税仓库注册登记证书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19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海关监管货物仓储审批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经营海关监管作业场所企业注册登记证书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《中华人民共和国海关法》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直属海关、隶属海关；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1.实现申请、审批全程网上办理。2.取消许可证有效期，改为长期有效。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开展“双随机、一公开”监管，根据不同风险程度、信用水平，合理确定抽查比例。</w:t>
            </w:r>
          </w:p>
        </w:tc>
      </w:tr>
      <w:tr>
        <w:trPr>
          <w:cantSplit/>
          <w:trHeight w:val="23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从事进出境检疫处理业务的单位认定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出入境检疫处理单位核准证书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1.严格执行有关法律法规和标准，对检疫处理过程加强监管，对检疫处理效果进行监督评价。2.每年至少组织1次对检疫处理单位、工作人员及其操作情况的监督检查。</w:t>
            </w:r>
          </w:p>
        </w:tc>
      </w:tr>
      <w:tr>
        <w:trPr>
          <w:cantSplit/>
          <w:trHeight w:val="4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出境动植物及其产品、其他检疫物的生产、加工、存放单位注册登记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出口××生产、加工、存放企业检验检疫注册登记证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《中华人民共和国进出境动植物检疫法实施条例》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办理出境水生动物养殖场、中转场注册登记的，不再要求申请人提供养殖许可证、海域使用证、水质检测报告等材料。3.办理出口饲料生产企业注册登记的，不再要求申请人提供生产许可证明、产品审查批准文件等材料。4.办理饲养场注册登记的，不再要求申请人提供重点区域照片或视频资料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发现被境外通报的质量安全问题和违法违规行为要依法查处。3.加强信用监管，依法依规完善黑名单制度，并对失信主体开展失信惩戒。</w:t>
            </w:r>
          </w:p>
        </w:tc>
      </w:tr>
      <w:tr>
        <w:trPr>
          <w:cantSplit/>
          <w:trHeight w:val="3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海关总署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太原海关</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进口可用作原料的固体废物国内收货人注册登记证书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《中华人民共和国进出口商品检验法实施条例》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直属海关</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通过现场检查、验证、追踪货物环保质量状况等方法加强监督检查，实施风险预警及快速反应管理，依法向社会公布企业信用状况。</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357</w:t>
            </w:r>
          </w:p>
        </w:tc>
        <w:tc>
          <w:tcPr>
            <w:tcW w:w="587"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spacing w:line="28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重要工业产品（除食品相关产品、化肥、危险化学品包装物及容器和电线电缆产品外）生产许可证核发</w:t>
            </w:r>
          </w:p>
        </w:tc>
        <w:tc>
          <w:tcPr>
            <w:tcW w:w="94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重要工业产品生产许可证</w:t>
            </w:r>
          </w:p>
        </w:tc>
        <w:tc>
          <w:tcPr>
            <w:tcW w:w="954"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《中华人民共和国工业产品生产许可证管理条例》</w:t>
            </w:r>
          </w:p>
        </w:tc>
        <w:tc>
          <w:tcPr>
            <w:tcW w:w="901"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市场监管总局；省市场监管局</w:t>
            </w:r>
          </w:p>
        </w:tc>
        <w:tc>
          <w:tcPr>
            <w:tcW w:w="627"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ind w:firstLine="352" w:firstLineChars="200"/>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1.实现申请、受理、审批全程网上办理。2.继续优化审批流程，在原审批时限基础上进一步压减30%。</w:t>
            </w:r>
          </w:p>
        </w:tc>
        <w:tc>
          <w:tcPr>
            <w:tcW w:w="3454" w:type="dxa"/>
            <w:tcBorders>
              <w:top w:val="nil"/>
              <w:left w:val="nil"/>
              <w:bottom w:val="single" w:color="auto" w:sz="4" w:space="0"/>
              <w:right w:val="single" w:color="auto" w:sz="4" w:space="0"/>
            </w:tcBorders>
            <w:shd w:val="clear" w:color="000000" w:fill="FFFFFF"/>
            <w:vAlign w:val="center"/>
          </w:tcPr>
          <w:p>
            <w:pPr>
              <w:spacing w:line="320" w:lineRule="exact"/>
              <w:jc w:val="lef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1.开展“双随机、一公开”监管。2.在审查中发现出具虚假报告的，要依法严肃处理相关检验检测机构和获证企业。3.开展产品质量安全风险</w:t>
            </w:r>
            <w:r>
              <w:rPr>
                <w:rFonts w:hint="eastAsia" w:ascii="仿宋" w:hAnsi="仿宋" w:eastAsia="仿宋" w:cs="仿宋"/>
                <w:color w:val="auto"/>
                <w:kern w:val="0"/>
                <w:sz w:val="18"/>
                <w:szCs w:val="18"/>
                <w:lang w:eastAsia="zh-CN"/>
              </w:rPr>
              <w:t>监</w:t>
            </w:r>
            <w:r>
              <w:rPr>
                <w:rFonts w:hint="eastAsia" w:ascii="仿宋" w:hAnsi="仿宋" w:eastAsia="仿宋" w:cs="仿宋"/>
                <w:color w:val="auto"/>
                <w:kern w:val="0"/>
                <w:sz w:val="18"/>
                <w:szCs w:val="18"/>
              </w:rPr>
              <w:t>测和监督抽查。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设立认证机构（高风险等级）审批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认证机构批准书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根据行业发展状况和技术特点，全面梳理修订认证领域目录，按照必要性和最简化原则，对认证领域实施分类管理，对风险等级高的认证领域准入实行优化审批服务。2.取消认证机构在登记注册等环节已经提交的申请材料，压减审批材料数量30%以上。3.将审批时限由45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4.加强信用监管，依法依规构建认证领域黑名单制度，并对失信主体开展失信惩戒。</w:t>
            </w:r>
          </w:p>
        </w:tc>
      </w:tr>
      <w:tr>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省市场监管局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从事强制性认证以及相关活动的认证机构、实验室指定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《中华人民共和国认证认可条例》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市场监管总局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不再要求申请人提供法人登记证书和认证机构批准书等材料。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不同风险程度、信用水平，合理确定抽查比例。2.依法及时处理投诉举报。3.加强对认证行业的监测，针对发现的普遍性问题和突出风险开展专项检查，确保不发生系统性、区域性风险。</w:t>
            </w:r>
          </w:p>
        </w:tc>
      </w:tr>
      <w:tr>
        <w:trPr>
          <w:cantSplit/>
          <w:trHeight w:val="240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广播电视视频点播业务（甲种）审批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广播电视视频点播业务许可证（甲种）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将专家评审时限由30个工作日压减至20个工作日。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广播电视视频点播业务（乙种）审批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广播电视视频点播业务许可证（乙种）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1.不再要求申请人提供营业执照、酒店星级证明等材料。2.将审批时限由20个工作日压减至15个工作日。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广播电视监测系统监测等方式，对广播电视视频点播单位业务开展情况及播出内容进行监测监看。3.依法及时处理投诉举报，对投诉举报等渠道反映问题多的单位实施重点监管。</w:t>
            </w:r>
          </w:p>
        </w:tc>
      </w:tr>
      <w:tr>
        <w:trPr>
          <w:cantSplit/>
          <w:trHeight w:val="36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境外广播电视机构在华设立办事机构审批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国家广播电视总局关于同意在华设立办事处的批复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《国务院对确需保留的行政审批项目设定行政许可的决定》《外国企业常驻代表机构登记管理条例》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办理许可证件延期时，不再要求申请人提供市场监管、公安等部门出具的批准文件。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1.加强日常监管，发现违法违规行为要依法查处并公开结果。2.依法及时处理投诉举报，对投诉举报等渠道反映问题多的机构实施重点监管。</w:t>
            </w:r>
          </w:p>
        </w:tc>
      </w:tr>
      <w:tr>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设立电视剧制作单位审批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电视剧制作许可证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办理电视剧制作许可证（乙种）时不再要求申请人提供题材规划立项批准文件复印件、广播电视节目制作经营许可证复印件。2.办理电视剧制作许可证（甲种）时不再要求申请人提供电视剧制作许可证（乙种）复印件、电视剧发行许可证复印件。3.将电视剧制作许可证（乙种）有效期限由180日延长至1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通过日常监听监看、受理群众举报等方式对电视剧制作单位的电视剧制作情况进行监管，发现违法违规行为要依法查处并公开结果。</w:t>
            </w:r>
          </w:p>
        </w:tc>
      </w:tr>
      <w:tr>
        <w:trPr>
          <w:cantSplit/>
          <w:trHeight w:val="46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信息网络传播视听节目许可证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不再要求申请人提供营业执照、广播电视节目制作经营许可证、广播电视播出机构许可证等材料。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通过实地检查、监听监看等方式对网络视听节目内容和质量进行监测，对重点节目、疑似存在问题的节目组织专家进行评议，发现问题要及时依法处理。3.依法及时处理投诉举报，对投诉举报等渠道反映问题多的机构实施重点监管。4.加强信用监管，将有严重违法违规行为的机构列入黑名单，依法依规对相关信用主体实施信用约束和失信惩戒。5.发挥行业协会自律作用。6.在有效期届满延期换证时，通过部门信息共享或网络等渠道，对从业主体的规范从业信息进行核查。</w:t>
            </w:r>
          </w:p>
        </w:tc>
      </w:tr>
      <w:tr>
        <w:trPr>
          <w:cantSplit/>
          <w:trHeight w:val="276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卫星电视广播地面接收设施安装服务许可证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《卫星电视广播地面接收设施管理规定》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1.加强政务信息共享共用，不再要求申请人提供营业执照、营业场所证明、主要出资单位证明、验资证明等材料。2.将许可证有效期限由1年延长至2年。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1.依法及时处理投诉举报。2.制定年度监管计划，采取实地暗访、专项检查等方式对卫星电视广播地面接收设施安装服务机构经营情况进行监管，发现违法违规行为要依法查处并公开结果。</w:t>
            </w:r>
          </w:p>
        </w:tc>
      </w:tr>
      <w:tr>
        <w:trPr>
          <w:cantSplit/>
          <w:trHeight w:val="45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省广电局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经营广播电视节目传送业务审批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广播电视节目传送业务经营许可证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广电总局；省广电局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对有线传送业务，不再要求申请人提供验资报告、营业执照、设备证明、企业章程、人员证明等材料。2.对无线传送业务，取消资金保障及来源、具有必要的设计文件或技术评估报告和基本建设资金、稳定的经费保障、有必要的工作场所、工作环境安全可靠等经营许可条件。3.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监看节目内容、受理群众举报等方式对广播电视节目传送业务进行监管，发现违法违规行为要依法查处并公开结果。2.加强信用监管，依法向社会公布广播电视节目传送单位信用状况，依法依规对失信主体开展失信惩戒。</w:t>
            </w:r>
          </w:p>
        </w:tc>
      </w:tr>
      <w:tr>
        <w:trPr>
          <w:cantSplit/>
          <w:trHeight w:val="27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兴奋剂检测机构许可证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从事射击竞技体育运动单位审批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关于同意××设立射击竞技体育运动单位的批复</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《中华人民共和国枪支管理法》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并对相关经营主体和从业人员实施信用约束和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体育总局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经营高危险性体育项目许可证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《全民健身条例》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省体育部门；市行政审批局；县（区）体育或行政审批部门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1.推广全程网上办理，推进体育领域信息数据共享应用。2.将审批时限由20个工作日压减至15个工作日。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建立健全跨区域、跨层级、跨部门协同监管制度，推进联合执法。3.加强信用监管，依法依规将有严重违法违规行为的机构列入黑名单，对相关经营主体和从业人员实施信用约束和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省统计局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涉外统计调查机构资格认定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中华人民共和国涉外调查许可证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《中华人民共和国统计法》《中华人民共和国统计法实施条例》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国家统计局；省统计局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1.实现申请、审批全程网上办理，网上公布办事指南。2.将审批时限由20个工作日压减至8个工作日。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1.及时公示许可信息。2.及时处理投诉举报，依法查处违规调查行为。3.配合有关部门做好行政审批基础信息共享。</w:t>
            </w:r>
          </w:p>
        </w:tc>
      </w:tr>
      <w:tr>
        <w:trPr>
          <w:cantSplit/>
          <w:trHeight w:val="327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省商务厅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对外援助项目咨询服务单位资格认定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资格认定批件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国际发展合作署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对纳税信用等级为A级的申请单位，不再要求提供税务部门出具的完税证明。</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1.建立援外项目咨询服务单位信用记录，依法依规对失信主体开展失信惩戒。2.开展重点审计，对重点关注单位、重点项目咨询服务单位进行审计。</w:t>
            </w:r>
          </w:p>
        </w:tc>
      </w:tr>
      <w:tr>
        <w:trPr>
          <w:cantSplit/>
          <w:trHeight w:val="41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出版物零售单位设立、变更审批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县（区）新闻出版部门</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rPr>
          <w:cantSplit/>
          <w:trHeight w:val="39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从事特定印刷品（商标、票据、保密印刷）印刷经营活动企业（不含外资企业）的设立、变更审批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市新闻出版局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4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从事出版物印刷经营活动企业（不含中外合资、合作企业）的设立、变更审批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《印刷业管理条例》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1.推动实现申请、审批全程网上办理。2.将审批时限由60个工作日压减至40个工作日。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18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出版单位设立、变更审批（初审）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90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38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电子出版物出版许可证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34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379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网络出版服务许可证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1.不再要求申请人提供单位基本信息登记表。2.对涉及机构改革、文化企业公司制改制等内容的申请，开辟“绿色通道”，实行简易程序审批。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报纸出版许可证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1.强化报纸样本数据监测、跟踪和评估，加大报纸质量检查力度。2.扩大纸质报纸审读及借助网络手段审读的覆盖面。</w:t>
            </w:r>
          </w:p>
        </w:tc>
      </w:tr>
      <w:tr>
        <w:trPr>
          <w:cantSplit/>
          <w:trHeight w:val="236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期刊出版许可证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1.不再要求申请人提供单位基本信息登记表。2.期刊出版单位申请变更名称的，不再要求申请人提供其与主办单位之间隶属关系或出资关系的证明材料。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1.开展“双随机、一公开”监管，强化期刊年检和审读，发现违法违规行为要依法查处并公开结果。2.依法及时处理投诉举报。</w:t>
            </w:r>
          </w:p>
        </w:tc>
      </w:tr>
      <w:tr>
        <w:trPr>
          <w:cantSplit/>
          <w:trHeight w:val="260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出版物进口经营单位设立、变更、合并、分立、设立分支机构审批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出版物进口经营许可证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不再要求申请人提供单位基本信息登记表。</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开展“双随机、一公开”监管，发现违法违规行为要依法查处并公开结果。</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音像电子出版物复制单位设立、变更审批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复制经营许可证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《音像制品管理条例》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出版物批发单位设立、变更审批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并在网上公布审批程序、受理条件、办理标准，公开办理进度。2.精简审批材料，推动在线获取核验营业执照、企业章程、经营场所情况及使用权证明、法定代表人及主要负责人身份证明等材料。3.将审批时限由20个工作日压减至13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1.开展“双随机、一公开”监管，发现违法违规行为要依法查处并公开结果。2.依法及时处理投诉举报。3.推进部门间信息共享应用。</w:t>
            </w:r>
          </w:p>
        </w:tc>
      </w:tr>
      <w:tr>
        <w:trPr>
          <w:cantSplit/>
          <w:trHeight w:val="209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中学小学教科书出版资质审批（初审）</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181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中学小学教科书出版资质审批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图书出版许可证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不再要求申请人提供近5年内出版单位出版的与所申请出版资质相关的代表性出版物，改为审批部门向相关部门了解该单位代表性出版物情况。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1.开展“双随机、一公开”监管，强化出版内容质量监测和抽查，发现违法违规行为要依法查处并公开结果。2.依法及时处理投诉举报，对被投诉举报单位实施重点监管。</w:t>
            </w:r>
          </w:p>
        </w:tc>
      </w:tr>
      <w:tr>
        <w:trPr>
          <w:cantSplit/>
          <w:trHeight w:val="222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省新闻出版局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中学小学教科书发行资质审批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出版物经营许可证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《出版管理条例》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新闻出版署</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不再要求申请人提供关于企业信息管理系统及自有物流配送体系情况的证明材料，改为要求申请单位提供加盖其公章的文字说明，并实地核查其是否具备相应准入条件。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1.开展“双随机、一公开”监管，发现违法违规行为要依法查处并公开结果。2.依法及时处理投诉举报。</w:t>
            </w:r>
          </w:p>
        </w:tc>
      </w:tr>
      <w:tr>
        <w:trPr>
          <w:cantSplit/>
          <w:trHeight w:val="3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互联网新闻信息服务许可证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《国务院对确需保留的行政审批项目设定行政许可的决定》《互联网信息服务管理办法》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国家网信办；省网信办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日常检查和定期检查相结合的监管制度，依法对互联网新闻信息服务活动实施监督检查。2.畅通投诉举报渠道，依法及时处理投诉举报。3.建立互联网新闻信息服务网络信用记录，依法依规构建失信黑名单制度。4.加强部门间信息共享和协作配合，依法开展联合执法。</w:t>
            </w:r>
          </w:p>
        </w:tc>
      </w:tr>
      <w:tr>
        <w:trPr>
          <w:cantSplit/>
          <w:trHeight w:val="40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省网信办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外国机构在中国境内提供金融信息的服务业务审批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外国机构在中国境内提供金融信息许可证、外国机构在中国境内投资设立企业提供金融信息服务许可证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国家网信办</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1.及时掌握用户情况，定期对备案用户的信息进行核查。2.强化境外金融信息服务终端同步审视，发现问题及时依法处理。3.畅通投诉举报渠道，依法及时处理投诉举报。</w:t>
            </w:r>
          </w:p>
        </w:tc>
      </w:tr>
      <w:tr>
        <w:trPr>
          <w:cantSplit/>
          <w:trHeight w:val="33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省气象局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雷电防护装置检测资质证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《国务院对确需保留的行政审批项目设定行政许可的决定》《气象灾害防御条例》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中国气象局会同国务院电力或通信主管部门；省气象局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1.实现申请、审批全程网上办理。2.不再要求申请人提供营业执照原件和经营场所产权证明原件等材料。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1.开展“双随机、一公开”监管，发现违法违规行为要依法查处并公开结果。2.加强信用监管，依法依规对失信主体开展失信惩戒。3.依法及时处理投诉举报。</w:t>
            </w:r>
          </w:p>
        </w:tc>
      </w:tr>
      <w:tr>
        <w:trPr>
          <w:cantSplit/>
          <w:trHeight w:val="37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36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中资银行业金融机构董事和高级管理人员任职资格核准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不再要求申请人提供拟任人个人及其主要家庭成员的征信报告等材料，改为申请人作出有关承诺。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通过行业通报、社会公示、市场禁入等方式进行处理，督促有关人员依法履职。</w:t>
            </w:r>
          </w:p>
        </w:tc>
      </w:tr>
      <w:tr>
        <w:trPr>
          <w:cantSplit/>
          <w:trHeight w:val="4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商业银行、政策性银行、金融资产管理公司对外从事股权投资及商业银行综合化经营审批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不再要求申请人提供被投资方股东（大）会同意吸收商业银行投资的决议等材料。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外资银行营业性机构及其分支机构设立、变更、终止以及业务范围审批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对于申请筹建外商独资银行分行、中外合资银行分行的，不再要求申请人提供营业执照复印件等材料。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1.加强信息共享，通过有关信息平台获取有关信息。2.通过现场检查、非现场监管等方式，密切关注风险，发现违法违规行为要依法查处。</w:t>
            </w:r>
          </w:p>
        </w:tc>
      </w:tr>
      <w:tr>
        <w:trPr>
          <w:cantSplit/>
          <w:trHeight w:val="31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外资银行董事、高级管理人员、首席代表任职资格核准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《中华人民共和国银行业监督管理法》《中华人民共和国外资银行管理条例》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将非中国银保监会直接监管的外资法人银行董事长、行长任职资格核准由中国银保监会下放至拟任职机构所在地银保监局。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1.加强系统内监管培训，确保全国监管标准一致。2.通过监管约谈、走访督察等方式，督促有关人员依法履职。</w:t>
            </w:r>
          </w:p>
        </w:tc>
      </w:tr>
      <w:tr>
        <w:trPr>
          <w:cantSplit/>
          <w:trHeight w:val="41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非银行金融机构（分支机构）设立、变更、终止以及业务范围审批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1.机构设立类：金融许可证2.变更名称、住所：金融许可证（换发）3.其他：批准文件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不再要求申请人提供营业执照复印件、中国银保监会出具的金融许可证复印件等材料。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9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非银行金融机构董事和高级管理人员任职资格核准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《中华人民共和国银行业监督管理法》《中华人民共和国商业银行法》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不再要求申请人提供拟任人个人及其配偶的征信报告等材料，改为申请人作出有关承诺。</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加强信用监管，根据违法违规情形和失信程度，依法依规对有关人员采取行业通报、社会公示、市场禁入等方式进行处理，督促有关人员依法履职。</w:t>
            </w:r>
          </w:p>
        </w:tc>
      </w:tr>
      <w:tr>
        <w:trPr>
          <w:cantSplit/>
          <w:trHeight w:val="433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保险公司法人许可证、经营保险业务许可证、批准文件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开业验收报告中提供保险机构和高级管理人员管理信息系统客户端程序生成的电子化数据文件等材料。2.将政策性保险公司分支机构开业审批权限由中国银保监会下放至所在地银保监局。3.保险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399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保险公司的董事、监事和高级管理人员任职资格审批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1.不再要求申请人提供拟任人综合鉴定等材料。2.对曾经取得保险公司董事、监事和高级管理人员任职资格的人员，再次申请同类性质任职资格的，不再进行任职资格考试。</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保险资产管理公司及其分支机构设立、重大事项变更、终止审批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保险资产管理公司法人许可证、批准文件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不再要求申请人在筹建申请材料中提供筹建负责人的任职资格申请书、身份证明、学历和学位证书复印件等材料。2.不再要求申请人在变更营业场所申请材料中提供新营业场所符合办公条件的情况报告等材料。3.不再要求申请人在变更业务范围申请材料中提供业务范围变更后的可行性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1.通过现场检查、非现场监管等方式，密切关注风险，发现违法违规行为要依法查处。2.针对重点领域风险，健全有关制度，建立风险防范长效机制。3.压实机构主体责任，强化行业自律管理。</w:t>
            </w:r>
          </w:p>
        </w:tc>
      </w:tr>
      <w:tr>
        <w:trPr>
          <w:cantSplit/>
          <w:trHeight w:val="245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保险资产管理公司高级管理人员资格核准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持续对有关人员履职情况进行监管，加大对违法违规经营活动有关人员的处罚力度。2.根据违法违规情形和失信程度，依法依规对有关人员通过行业通报、社会公示、市场禁入等方式进行处理，督促有关人员依法履职。</w:t>
            </w:r>
          </w:p>
        </w:tc>
      </w:tr>
      <w:tr>
        <w:trPr>
          <w:cantSplit/>
          <w:trHeight w:val="251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1.通过现场检查、非现场监管等方式，密切关注风险，发现违法违规行为要依法查处。2.针对重点领域风险，健全有关制度，建立风险防范长效机制。3.加强与有关部门的信息共享，定期组织交流会议。</w:t>
            </w:r>
          </w:p>
        </w:tc>
      </w:tr>
      <w:tr>
        <w:trPr>
          <w:cantSplit/>
          <w:trHeight w:val="237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保险集团公司高级管理人员资格核准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22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保险控股公司设立、合并、分立、变更、解散审批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1.通过现场检查、非现场监管等方式，密切关注风险，发现违法违规行为要依法查处。2.针对重点领域风险，健全有关制度，建立风险防范长效机制。3.加强部门间信息共享，定期组织交流会议。</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保险控股公司高级管理人员资格核准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对有关人员通过行业通报、社会公示、市场禁入等方式进行处理，督促有关人员依法履职。</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专属自保组织和相互保险组织设立、合并、分立、变更和解散审批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保险公司法人许可证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专属自保组织和相互保险组织因变更注册资本等前置审批事项申请修改公司章程的，无需审批，改为报告制。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17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专属自保、相互保险等组织高级管理人员资格核准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15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经营保险代理业务许可证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00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保险代理机构高级管理人员任职资格核准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165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经营保险经纪业务许可证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1.通过现场检查、非现场监管等方式，密切关注风险，发现违法违规行为要依法查处。2.加强信用监管，依法依规对失信主体开展失信惩戒。3.针对重点领域风险，健全有关制度，建立风险防范长效机制。</w:t>
            </w:r>
          </w:p>
        </w:tc>
      </w:tr>
      <w:tr>
        <w:trPr>
          <w:cantSplit/>
          <w:trHeight w:val="229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保险经纪机构高级管理人员任职资格核准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不再要求申请人提供对拟任人的综合鉴定等材料。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完善履职评价制度，在日常监管中加强对有关人员的监管和跟踪评价，加大对违法违规经营活动有关人员的处罚力度。2.根据违法违规情形和失信程度，依法依规对有关人员通过行业通报、社会公示、市场禁入等方式进行处理，督促有关人员依法履职。</w:t>
            </w:r>
          </w:p>
        </w:tc>
      </w:tr>
      <w:tr>
        <w:trPr>
          <w:cantSplit/>
          <w:trHeight w:val="49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关系社会公众利益的保险险种、依法实行强制保险的险种和新开发的人寿保险险种等的保险条款和保险费率审批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《中华人民共和国保险法》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对于使用中国保险行业协会车险示范条款的保险产品，不再要求申请人报送保险条款等材料。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1.通过现场检查、非现场监管等方式，密切关注风险，发现违法违规行为要依法查处。2.针对重点领域风险，健全有关制度，建立风险防范长效机制。</w:t>
            </w:r>
          </w:p>
        </w:tc>
      </w:tr>
      <w:tr>
        <w:trPr>
          <w:cantSplit/>
          <w:trHeight w:val="21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山西银保监局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保险公司拓宽保险资金运用形式审批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不再要求申请人在保险公司境外投资申请材料中提供偿付能力报告等材料。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1.加强对资产负债管理的监管和动态监测。2.通过现场检查、非现场监管等方式，密切关注风险，发现违法违规行为要依法查处。3.强化保险公司拓宽保险资金运用形式分类监管。</w:t>
            </w:r>
          </w:p>
        </w:tc>
      </w:tr>
      <w:tr>
        <w:trPr>
          <w:cantSplit/>
          <w:trHeight w:val="295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融资担保公司设立、变更审批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融资担保业务经营许可证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《国务院对确需保留的行政审批项目设定行政许可的决定》《融资担保公司监督管理条例》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将审批时限由30日压减至20日。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1.运用大数据等技术手段实时监测风险，加强现场检查和非现场监管。2.建立与有关部门的监管协调机制和信息共享机制。</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中国银保监会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设立典当行及分支机构审批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典当经营许可证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省地方金融监管局</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将典当经营许可证的有效期限由6年延长至10年。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1.通过年审、现场检查、非现场监管等方式，加强事中事后监管，发现违法违规行为要依法查处。2.进一步完善监管指标体系，建立分级、分类监管制度，强化市场约束，提高监管透明度。</w:t>
            </w:r>
          </w:p>
        </w:tc>
      </w:tr>
      <w:tr>
        <w:trPr>
          <w:cantSplit/>
          <w:trHeight w:val="29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证券公司设立、变更重大事项审批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申请保荐业务资格审批流程由申请人筹备、通过现场检查再批准，改为先批准、申请人筹备并通过现场检查再开展业务。2.不再要求申请人提供法律意见书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447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基金托管人资格核准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4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审批流程由申请人筹备、通过现场检查再批准，改为先批准、申请人筹备并通过现场检查再开展业务。2.不再要求申请人在批复阶段提供执业人员基本情况、安全保管基金财产有关条件报告、基金清算和交割系统运行测试报告、办公场所平面图、安全监控系统安装调试情况报告、基金托管业务备份系统设计方案和应急处理方案、应急处理能力测试报告等材料。3.将证券业务许可证、基金业务许可证统一为经营证券期货业务许可证。4.在网上公开服务指南、受理进度、审批结果等。5.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74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公募基金管理公司设立、变更重大事项和公募基金管理人资格审批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公募基金管理公司设立、公募基金管理人资格审批流程由申请人筹备、通过现场检查再批准，改为先批准、申请人筹备并通过现场检查再开展业务。2.不再要求申请人在公募基金管理人资格审批批复阶段提供风险控制指标监管报表、证监局出具的现场检查报告、行业监管（自律管理）部门出具的意见等材料。3.不再要求申请人在批复阶段提供具有境外投资管理相关经验人员的教育经历、工作经验、从业资格、专业职称等基本情况介绍等材料。4.将证券业务许可证、基金业务许可证统一为经营证券期货业务许可证。5.在网上公开服务指南、受理进度、审批结果等。6.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3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基金服务机构注册</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6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6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将基金销售业务资格审批流程由申请人筹备、通过现场检查再批准，改为先批准、申请人筹备并通过现场检查再开展业务。2.将证券业务许可证、基金业务许可证统一为经营证券期货业务许可证。3.在网上公开服务指南、受理进度、审批结果等。4.推动实现申请、审批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申请设立期货交易场所的审批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1.要求期货交易场所建立健全相关制度，加强对交易结算活动的风险控制，加大对会员、工作人员的监管力度。2.加强现场检查。</w:t>
            </w:r>
          </w:p>
        </w:tc>
      </w:tr>
      <w:tr>
        <w:trPr>
          <w:cantSplit/>
          <w:trHeight w:val="19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28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申请设立期货专门结算机构的审批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1.推动实现申请、审批全程网上办理。2.每半年1次公布存量情况。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1.要求期货专门结算机构建立健全相关制度，加强对结算相关活动的风险控制和工作人员的监督管理。2.根据市场情况及重点工作安排，加强现场检查。</w:t>
            </w:r>
          </w:p>
        </w:tc>
      </w:tr>
      <w:tr>
        <w:trPr>
          <w:cantSplit/>
          <w:trHeight w:val="43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期货公司设立、合并、分立、停业、解散或者破产，变更业务范围、注册资本、5%以上股权的审批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1.开展“双随机、一公开”监管。2.强化对关联交易的日常监管，发现违法违规行为要依法查处。3.强化对公司治理的监管，督促期货公司股东按期报送股权变动等信息。</w:t>
            </w:r>
          </w:p>
        </w:tc>
      </w:tr>
      <w:tr>
        <w:trPr>
          <w:cantSplit/>
          <w:trHeight w:val="30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期货公司境内及境外期货经纪业务、期货投资咨询业务许可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《期货交易管理条例》《国务院关于第六批取消和调整行政审批项目的决定》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1.推动实现申请、审批全程网上办理。2.在网上公开服务指南、受理进度、审批结果等。3.不再要求申请人提供可通过部门间信息共享获取的企业登记注册等相关材料。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1.开展“双随机、一公开”监管。2.加强日常监管，发现违法违规行为要依法查处。</w:t>
            </w:r>
          </w:p>
        </w:tc>
      </w:tr>
      <w:tr>
        <w:trPr>
          <w:cantSplit/>
          <w:trHeight w:val="245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投资咨询机构从事证券服务业审批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1.强化股权变更管理。2.加强对分支机构的合规管控。3.加大对违法违规行为的查处力度。</w:t>
            </w:r>
          </w:p>
        </w:tc>
      </w:tr>
      <w:tr>
        <w:trPr>
          <w:cantSplit/>
          <w:trHeight w:val="482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425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境外机构投资者资格审批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《中华人民共和国证券投资基金法》《国务院对确需保留的行政审批项目设定行政许可的决定》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 w:hAnsi="仿宋" w:eastAsia="仿宋" w:cs="仿宋"/>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降低资格准入条件，取消指标类条件等，仅保留对合规情况和投资经历的要求，取消资产管理规模等准入条件。2.以申请表、问卷等形式细化明确材料要求，不再要求申请人提供投资计划书、审计报告等材料。3.在网上公开服务指南、受理进度、审批结果等。4.推动实现申请、审批全程网上办理。5.将审批时限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1.建立信息共享和监管协作机制，及时发现和处置跨市场异常交易行为。2.强化穿透式监管要求。3.细化合格投资者和托管人的违规情形，明确监管职责和处罚措施，加大查处力度。</w:t>
            </w:r>
          </w:p>
        </w:tc>
      </w:tr>
      <w:tr>
        <w:trPr>
          <w:cantSplit/>
          <w:trHeight w:val="52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证券交易所、国务院批准的其他全国性证券交易场所的设立、变更和解散审核、证券登记结算机构设立和解散审批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《中华人民共和国证券法》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rPr>
          <w:cantSplit/>
          <w:trHeight w:val="212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证券金融公司设立和解散审批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1.推动实现申请、审批全程网上办理。2.每半年1次公布存量企业情况。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加强非现场检查和现场监管，及时处理投诉举报，发现违法违规行为要依法查处并公开结果。</w:t>
            </w:r>
          </w:p>
        </w:tc>
      </w:tr>
      <w:tr>
        <w:trPr>
          <w:cantSplit/>
          <w:trHeight w:val="344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山西证监局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境外证券经营机构在境内经营证券业务审批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批准文件、中华人民共和国经营证券期货业务许可证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《国务院对确需保留的行政审批项目设定行政许可的决定》《证券公司监督管理条例》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中国证监会及其派出机构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1.推动实现申请、审批全程网上办理。2.网上公布服务指南，公开受理进度、反馈意见、审批结果等情况。</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风险程度、信用水平等，合理确定抽查比例，发现违法违规行为要依法查处并公开结果。2.加强非现场监测和检查，针对普遍性问题和突出风险开展专项检查，及时处理投诉举报。3.加强信用监管，及时更新企业诚信档案，依法依规对失信主体开展失信惩戒。4.发挥行业协会自律作用。</w:t>
            </w:r>
          </w:p>
        </w:tc>
      </w:tr>
      <w:tr>
        <w:trPr>
          <w:cantSplit/>
          <w:trHeight w:val="40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429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国家粮食和储备局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军粮供应站资格、军粮供应委托代理资格认定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军粮供应站资格证书、军粮代供点资格证书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省粮食和储备局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1.不再要求申请人提供事业单位设立批准文件复印件、省粮食和储备局认为需要提交的其他材料。2.将实地核查办理时限由15个工作日压减至10个工作日。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通过“双随机、一公开”监管、重点监管等方式，对制度落实、计划管理、军粮质量、核算手续、经费往来等加强监管。</w:t>
            </w:r>
          </w:p>
        </w:tc>
      </w:tr>
      <w:tr>
        <w:trPr>
          <w:cantSplit/>
          <w:trHeight w:val="422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核材料许可证核发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《中华人民共和国核材料管制条例》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核材料衡算与控制规程、反应堆燃耗分析计算程序及精度说明、反应堆热功率和功率分布监测方法及其精度说明、核材料实物保护系统的测试和维护说明、核材料相关的保密管理措施、实物保护系统有效性评估等材料。2.技术审评与现场检查实行并联办理，将审批时限压减15天。</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加强对持证单位的监测，针对发现的普遍性问题和突出风险开展专项检查，确保不发生系统性、区域性风险。3.取换证现场检查期间，对核材料衡算、核材料实物保护与保密工作等相关支持性文件进行检查。</w:t>
            </w:r>
          </w:p>
        </w:tc>
      </w:tr>
      <w:tr>
        <w:trPr>
          <w:cantSplit/>
          <w:trHeight w:val="30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31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《武器装备科研生产许可管理条例》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跨部门联合监管等，发现问题及时依法处理。2.强化属地管理，地方国防科技工业部门对本行政区域内从事生产活动的单位加强监管。3.依法及时处理投诉举报。4.强化信用约束，对弄虚作假、提供假冒伪劣产品等严重失信的单位，依法依规将其列入失信黑名单并通报。</w:t>
            </w:r>
          </w:p>
        </w:tc>
      </w:tr>
      <w:tr>
        <w:trPr>
          <w:cantSplit/>
          <w:trHeight w:val="29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一级、二级国防计量技术机构设置审批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《国防计量监督管理条例》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1.网上公布受理条件、审批程序、办理标准，提供电话查询办理进度渠道。2.取消信息报送、量值比对、学术交流、计量仲裁等18项审查标准。3.将审批时限由35个工作日压减至25个工作日。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修订相关管理规定，进一步规范技术机构履职行为，明确监管措施要求。2.开展“双随机、一公开”监管，根据专业能力、履职表现，合理确定抽查比例和检查内容。3.加强对军工计量领域的监测，补充完善短板弱项，确保技术机构能力满足科研生产需要。4.依法及时处理投诉举报。</w:t>
            </w:r>
          </w:p>
        </w:tc>
      </w:tr>
      <w:tr>
        <w:trPr>
          <w:cantSplit/>
          <w:trHeight w:val="222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省国防科工局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军品出口经营权和经营范围审批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《中华人民共和国军品出口管理条例》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网上公布受理条件、审批程序、办理标准，提供电话查询办理进度渠道。</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1.通过“双随机、一公开”监管、跨部门联合监管等方式，依法查处违法行为。2.加强信用监管，依法依规对失信主体开展失信惩戒。</w:t>
            </w:r>
          </w:p>
        </w:tc>
      </w:tr>
      <w:tr>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设立烟叶收购站（点）审批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烟草专卖烟叶收购证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26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烟草制品生产企业设立、分立、合并、撤销审批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烟草制品生产企业的决定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233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1.开展“双随机、一公开”监管，加强对持证主体合规生产经营的监管，发现违法违规行为要依法查处并公开结果。2.取缔无证生产经营主体。</w:t>
            </w:r>
          </w:p>
        </w:tc>
      </w:tr>
      <w:tr>
        <w:trPr>
          <w:cantSplit/>
          <w:trHeight w:val="342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外商投资设立烟草专卖生产企业审批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外商投资烟草专卖生产企业行政许可决定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397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烟草制品批发企业设立、分立、合并、撤销审批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国家烟草专卖局关于准予设立（分立、合并、撤销）</w:t>
            </w:r>
            <w:r>
              <w:rPr>
                <w:rFonts w:hint="eastAsia" w:ascii="仿宋" w:hAnsi="仿宋" w:eastAsia="仿宋" w:cs="仿宋"/>
                <w:color w:val="auto"/>
                <w:kern w:val="0"/>
                <w:sz w:val="18"/>
                <w:szCs w:val="18"/>
                <w:lang w:val="en-US" w:eastAsia="zh-CN"/>
              </w:rPr>
              <w:t>XX</w:t>
            </w:r>
            <w:r>
              <w:rPr>
                <w:rFonts w:ascii="Times New Roman" w:hAnsi="Times New Roman" w:eastAsia="仿宋_GB2312"/>
                <w:color w:val="auto"/>
                <w:kern w:val="0"/>
                <w:sz w:val="18"/>
                <w:szCs w:val="18"/>
              </w:rPr>
              <w:t>烟草制品批发企业的决定</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将审批时限由16个工作日压减至8个工作日。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1.开展“双随机、一公开”监管，发现违法违规行为要依法查处并公开结果。2.根据投诉举报开展重点检查。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439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烟草专卖批发企业许可证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国家烟草局；省烟草专卖局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rPr>
          <w:cantSplit/>
          <w:trHeight w:val="26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市烟草局；县（区）烟草部门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将审批时限由15个工作日压减至8个工作日。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1.开展“双随机、一公开”监管，加强对持证主体合规经营的监管，发现违法违规行为要依法查处并公开结果。2.取缔无证经营主体。</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国家烟草局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省烟草专卖局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烟草专卖品准运证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《中华人民共和国烟草专卖法》《中华人民共和国烟草专卖法实施条例》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省级以上烟草专卖行政主管部门</w:t>
            </w:r>
            <w:r>
              <w:rPr>
                <w:rFonts w:hint="eastAsia" w:ascii="Times New Roman" w:hAnsi="Times New Roman"/>
                <w:color w:val="auto"/>
                <w:kern w:val="0"/>
                <w:sz w:val="18"/>
                <w:szCs w:val="18"/>
                <w:lang w:eastAsia="zh-CN"/>
              </w:rPr>
              <w:t>，市烟草局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将审批时限由3个工作日压减至2个工作日。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1.开展“双随机、一公开”监管，加强对持证主体合规运输烟草专卖品的监管，发现违法违规行为要依法查处并公开结果。2.对无证运输或超量携带烟草专卖品的行为依法进行查处。</w:t>
            </w:r>
          </w:p>
        </w:tc>
      </w:tr>
      <w:tr>
        <w:trPr>
          <w:cantSplit/>
          <w:trHeight w:val="2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林草种子（进出口）生产经营许可证核发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1.取消省林草局实施的审核，申请人直接向国家林草局提出申请。2.不再要求申请人提供经营场所权属证明、生产用地用途证明等材料。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向社会公开，依法依规对失信主体开展失信惩戒。3.依法及时处理投诉举报。4.发挥行业协会自律作用。</w:t>
            </w:r>
          </w:p>
        </w:tc>
      </w:tr>
      <w:tr>
        <w:trPr>
          <w:cantSplit/>
          <w:trHeight w:val="54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林草种子（林木良种籽粒、穗条等繁殖材料，主要草种杂交种子及其亲本种子、常规原种种子）生产经营许可证核发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林草种子生产经营许可证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不再要求申请人提供经营场所权属证明、生产用地用途证明等材料。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1.开展“双随机、一公开”监管，发现违法违规行为要依法查处并公开结果。2.加强信用监管，建立企业信用记录并依法公开，依法依规对失信单位和个人开展失信惩戒。3.发挥行业协会自律作用。</w:t>
            </w:r>
          </w:p>
        </w:tc>
      </w:tr>
      <w:tr>
        <w:trPr>
          <w:cantSplit/>
          <w:trHeight w:val="21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草种进出口审批表</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《中华人民共和国种子法》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1.不再要求申请人提供林草种子（进出口）生产经营许可证等材料。2.将草种进出口审批表有效期由3个月延长至6个月。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1.开展“双随机、一公开”监管，发现违法违规行为要依法查处并公开结果。2.依法及时处理投诉举报。3.加强信用监管，建立企业信用记录并依法向社会公开，依法依规对失信主体开展失信惩戒。</w:t>
            </w:r>
          </w:p>
        </w:tc>
      </w:tr>
      <w:tr>
        <w:trPr>
          <w:cantSplit/>
          <w:trHeight w:val="28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w:t>
            </w:r>
            <w:r>
              <w:rPr>
                <w:rFonts w:ascii="Times New Roman" w:hAnsi="Times New Roman" w:eastAsia="仿宋_GB2312"/>
                <w:color w:val="auto"/>
                <w:kern w:val="0"/>
                <w:sz w:val="18"/>
                <w:szCs w:val="18"/>
              </w:rPr>
              <w:t>45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普及型国外引种试种苗圃资格证书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不再要求申请人提供林草种子生产经营许可证等材料。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开展“双随机、一公开”监管和专项检查，发现违法违规行为要依法查处并公开结果。</w:t>
            </w:r>
          </w:p>
        </w:tc>
      </w:tr>
      <w:tr>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出售、收购国家二级保护野生植物审批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无</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《中华人民共和国野生植物保护条例》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省林草局或者其授权的机构</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不再要求申请人提供身份证明等材料。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加强信用监管，加大监督检查力度，依法依规对失信主体开展失信惩戒。</w:t>
            </w:r>
          </w:p>
        </w:tc>
      </w:tr>
      <w:tr>
        <w:trPr>
          <w:cantSplit/>
          <w:trHeight w:val="743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由国家林草局审批的国家重点保护陆生野生动物人工繁育许可证核发（除已制定人工繁育技术标准的物种外）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1.实现申请、审批网上办理，进一步优化审批流程，规范专家评审。2.将审批时限由20个工作日压减至15个工作日。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rPr>
          <w:cantSplit/>
          <w:trHeight w:val="74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国家林草局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省级权限内国家重点保护陆生野生动物人工繁育许可证核发（除已制定人工繁育技术标准的物种和列入人工繁育国家重点保护陆生野生动物目录的物种外）</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国家重点保护陆生野生动物人工繁育许可证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《中华人民共和国野生动物保护法》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1.对申请增加繁育种类的不再要求申请人提供原驯养繁殖许可证和相关批准文件等材料。2.进一步优化审批流程，规范专家评审。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1.严格执行行业标准和规范，针对不同物种采取差别化、精细化管理方式。2.加强信用监管，依法依规对失信主体开展失信惩戒。3.组织开展行业培训。4.发挥行业协会自律作用。</w:t>
            </w:r>
          </w:p>
        </w:tc>
      </w:tr>
      <w:tr>
        <w:trPr>
          <w:cantSplit/>
          <w:trHeight w:val="161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449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铁路运输基础设备生产企业许可证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不再要求申请人提供产品认证证明等材料。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1.开展“双随机、一公开”监管，发现违法违规行为要依法查处并公开结果。2.加强信用监管，依法向社会公布铁路运输基础设备生产企业信用状况，依法依规对失信主体开展失信惩戒。</w:t>
            </w:r>
          </w:p>
        </w:tc>
      </w:tr>
      <w:tr>
        <w:trPr>
          <w:cantSplit/>
          <w:trHeight w:val="372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铁路机车车辆设计、制造、维修或进口许可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铁路机车车辆型号合格证、铁路机车车辆制造许可证、铁路机车车辆维修许可证、铁路机车车辆进口许可证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1.不再要求申请人提供营业执照副本等材料。2.按产品型号，将维修许可证有效期分别延长至5年、8年、10年。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1.开展“双随机、一公开”监管，发现违法违规行为要依法查处并公开结果。2.加强信用监管，依法向社会公布铁路机车车辆设计、制造、维修和进口企业信用状况，依法依规对失信主体开展失信惩戒。</w:t>
            </w:r>
          </w:p>
        </w:tc>
      </w:tr>
      <w:tr>
        <w:trPr>
          <w:cantSplit/>
          <w:trHeight w:val="214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铁路运输企业准入许可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铁路运输许可证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国家铁路局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不再要求申请人提供营业执照副本等材料。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1.开展“双随机、一公开”监管，发现违法违规行为要依法查处并公开结果。2.加强信用监管，依法向社会公布铁路运输企业信用状况，依法依规对失信主体开展失信惩戒。</w:t>
            </w:r>
          </w:p>
        </w:tc>
      </w:tr>
      <w:tr>
        <w:trPr>
          <w:cantSplit/>
          <w:trHeight w:val="196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民用航空器（发动机、螺旋桨）生产许可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rPr>
          <w:cantSplit/>
          <w:trHeight w:val="244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民用航空器零部件制造人批准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零部件制造人批准书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优化办事流程，通过邮寄（快递）等方式实现申请人“最多跑一次”。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严格按照相关法律法规和标准加强监管，主管检查员对持证人每年至少进行1次评审，对持证人的质量系统每2年至少进行1次复查，对持证人的供应商每年至少随机抽查2个。</w:t>
            </w:r>
          </w:p>
        </w:tc>
      </w:tr>
      <w:tr>
        <w:trPr>
          <w:cantSplit/>
          <w:trHeight w:val="2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民用航空器维修单位维修许可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在民航飞行标准监督管理系统一次性提交申请及相关材料，并可在线查询审批进度。2.对于集团化多地点维修企业，减少企业在各地重复申请许可，推行“一证多地”政策，实现企业申领一张维修许可证即可跨区域从事航空器及部件维修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1.改进工作差错和不安全事件的监管处理流程，提升监管效率和精准度。2.改进监管理念和作风，不以实行单一惩戒为目标，推动企业合法经营和持续发展。</w:t>
            </w:r>
          </w:p>
        </w:tc>
      </w:tr>
      <w:tr>
        <w:trPr>
          <w:cantSplit/>
          <w:trHeight w:val="12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公共航空运输企业经营许可证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1.通过年报制度加强对经营活动的监管。2.通过诚信体系建设，加强主体监管。</w:t>
            </w:r>
          </w:p>
        </w:tc>
      </w:tr>
      <w:tr>
        <w:trPr>
          <w:cantSplit/>
          <w:trHeight w:val="215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中外公共航空运输承运人运行合格证核发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航空承运人运行合格证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1.优化外国公共航空运输承运人合格审定审批流程。2.对部分项目进行合并或简化，将申请要件由36项压减至20项。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依托有关系统对监督检查活动进行统一计划管理，对于检查绩效不良的公司适当增加检查频次，对监督检查结果由民航飞行标准监督管理系统记录并视情况采取进一步管控措施。</w:t>
            </w:r>
          </w:p>
        </w:tc>
      </w:tr>
      <w:tr>
        <w:trPr>
          <w:cantSplit/>
          <w:trHeight w:val="404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中外航空运输企业航线（航班运输）经营许可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航线经营许可证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通过邮寄（快递）接收申请材料、寄送许可证件。3.航空公司申请国际航权资源实行事前承诺制，要求在获得公共航空运输企业经营许可证、具有与经营该国际航线相适应的民用航空器、投保相关保险、对开航可行性进行充分研究、国外机场运行保障和安保措施证明材料以及有能力确保航权有效执行等方面作出守信承诺。4.取消国内航线经营许可证有效期。</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引入实际飞行数据，提升航线航班执行情况监控的及时性和完整性。2.依法依规对航空运输企业航线（航班运输）经营许可使用情况进行监管，及时注销不符合法规要求的证照。3.加强诚信体系建设，强化对航线航班经营主体的信用约束。4.对航空公司航班计划执行情况和航权使用率实施监测记分，根据记分情况实施新增国际航线航班的准入惩戒，对未在规定期限内开航或未充分使用航权的航空公司实施航权清理。</w:t>
            </w:r>
          </w:p>
        </w:tc>
      </w:tr>
      <w:tr>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航空营运人运输危险品资格批准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危险品航空运输许可证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1.取消审批中的专家评审环节。2.不再要求申请人提供公共航空运输企业经营许可证复印件等材料。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1.推进危险品安全管理体系建设，进一步落实企业安全主体责任。2.依托有关信息系统，完善涉及危险品航空运输的监管事项，加强监督检查力度。</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459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商业非运输运营人、私用大型航空器运营人、航空器代管人运行合格证核发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商业非运输航空运营人运行合格证及私用大型航空器运营人和航空器代管人运行规范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1.实现网上一次性提交相关材料。2.对部分运行种类（如空中游览、一般商业运行）实现文件审查与现场验证环节合并进行。</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通用航空企业经营许可证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除被吊销、撤销、注销外，许可证长期有效。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1.开展“双随机、一公开”监管，对载客运输类、载人作业类进行重点监管。2.建立通用航空诚信评价体系，对诚信记录较差的企业增加检查频次及强度。3.加强信用监管，依法依规对失信主体开展失信惩戒。</w:t>
            </w:r>
          </w:p>
        </w:tc>
      </w:tr>
      <w:tr>
        <w:trPr>
          <w:cantSplit/>
          <w:trHeight w:val="277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外航驻华常设机构设立审批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外国航空运输企业常驻代表机构批准证书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《中华人民共和国国务院关于管理外国企业常驻代表机构的暂行规定》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委托第三方机构，免费向外航申请人提供全程中英文办理指导。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1.开展“双随机、一公开”监管、重点监管和非现场监管，及时处理投诉举报。2.对监管中发现的问题及时约谈行政相对人，要求其整改，必要时在民航当局间进行磋商。</w:t>
            </w:r>
          </w:p>
        </w:tc>
      </w:tr>
      <w:tr>
        <w:trPr>
          <w:cantSplit/>
          <w:trHeight w:val="255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民用航空器驾驶员学校审定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民用航空器驾驶员学校合格证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1.实现申请、审批全程网上办理。2.不再要求申请人提供商业非运输航空运营人合格证等材料。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飞行训练中心合格证及运行规范</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1.精简飞行训练中心合格认定的申请要件，优化申请系统模块。2.合并或删减不必要的项目，避免重复提交材料。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299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民用航空维修技术人员学校合格认定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维修培训机构合格证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允许申请人网上一次性提交申请及相关材料，并可在线查询审批进度。2.调整运动类和非复杂航空器的机型培训管理方式。3.对较大规模的维修培训机构，减少在各地重复申请许可，推行“一证多地”政策，实现维修培训机构申领一张许可证件即可跨区域从事维修培训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1.改变监管方式，以培训质量为核心，发挥市场评估和学员评估作用。2.加强信用监管，依法依规对失信主体开展失信惩戒。</w:t>
            </w:r>
          </w:p>
        </w:tc>
      </w:tr>
      <w:tr>
        <w:trPr>
          <w:cantSplit/>
          <w:trHeight w:val="220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飞行签派员训练机构资格证书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1.将训练机构合格证有效期由2年延长至5年。2.对续办训练机构合格证的，取消关于“毕业于该飞行签派员训练机构的学员在参加实践考试中第一次测试合格率达到80%”的要求。</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依托有关系统对监督检查活动进行统一计划管理，监督检查结果由系统记录并按分析评估结果视情况采取进一步措施。</w:t>
            </w:r>
          </w:p>
        </w:tc>
      </w:tr>
      <w:tr>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民用航空油料供应商适航批准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民用航空油料供应企业适航批准书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rPr>
          <w:cantSplit/>
          <w:trHeight w:val="25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民用航空油料企业安全运营许可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民用机场航空燃油供应安全运营许可证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1.申请人可就近前往民航地区管理局领取许可证件。2.在申请材料符合完整性、真实性、合法性要求的基础上，申请人可“最多跑一次”完成取证工作。</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对航油企业进行不定期检查，对可能产生重大影响的情况及时告知航油企业所在机场的管理机构，发现违规情形要依法查处。</w:t>
            </w:r>
          </w:p>
        </w:tc>
      </w:tr>
      <w:tr>
        <w:trPr>
          <w:cantSplit/>
          <w:trHeight w:val="255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民用航空油料测试单位批准</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民用航空油料检测单位批准函</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1.除必要的现场审核外，实现其他审查网上办理。2.中国民航局委托评审机构开展审查，并由其就办理流程、材料初审等环节向申请人提供免费指导。</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对批准单位每年开展1次年度检查，年初制定年度检查计划，对检查情况和整改情况进行跟踪。</w:t>
            </w:r>
          </w:p>
        </w:tc>
      </w:tr>
      <w:tr>
        <w:trPr>
          <w:cantSplit/>
          <w:trHeight w:val="23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469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民航山西监管局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对公众开放的民用机场使用许可证核发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批复文件和民用机场使用许可证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《中华人民共和国民用航空法》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中国民航局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1.实现申请、审批全程网上办理。2.申请人可就近前往民航地区管理局领取许可证件。3.取消许可证5年有效期，改为长期有效。</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每年年初制定行政检查计划，对辖区内机场进行年度适用性检查，并通过机场安全监管系统实现监察电子化及整改问题在线流转，每5年对辖区内机场组织实施1次符合性评价。</w:t>
            </w:r>
          </w:p>
        </w:tc>
      </w:tr>
      <w:tr>
        <w:trPr>
          <w:cantSplit/>
          <w:trHeight w:val="25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经营进出境邮政通信业务审批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经营邮政通信业务批准文件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1.网上公布审批程序、受理条件、查询方式。2.不再要求申请人提供邮政通信业务经营场地证明等材料。3.将审批时限由20个工作日压减至10个工作日。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1.严格执行法律法规的规定，对经营邮政通信业务企业加强监督。2.开展“双随机、一公开”监管，发现违法违规行为要依法查处并公开结果。</w:t>
            </w:r>
          </w:p>
        </w:tc>
      </w:tr>
      <w:tr>
        <w:trPr>
          <w:cantSplit/>
          <w:trHeight w:val="256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省邮政管理局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快递业务经营许可证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《中华人民共和国邮政法》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国家邮政局；省邮政管理局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1.实现申请、审批全程网上办理并在网上公布审批程序、受理条件、查询方式。2.不再要求申请人提供快递业务经营场地证明等材料。3.将审批时限由45个工作日压减至22个工作日。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1.严格执行法律法规的规定，对经营快递业务的企业加强监督。2.开展“双随机、一公开”监管，发现违法违规行为要依法查处并公开结果。</w:t>
            </w:r>
          </w:p>
        </w:tc>
      </w:tr>
      <w:tr>
        <w:trPr>
          <w:cantSplit/>
          <w:trHeight w:val="224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馆藏文物修复、复制、拓印单位资质认定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可移动文物修复资质证书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不再要求申请人提供有关人员身份证复印件等材料。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1.开展“双随机、一公开”监管。2.健全年度报告和公示制度，加强社会监督。</w:t>
            </w:r>
          </w:p>
        </w:tc>
      </w:tr>
      <w:tr>
        <w:trPr>
          <w:cantSplit/>
          <w:trHeight w:val="245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文物保护工程勘察设计甲级资质证书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243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文物保护工程施工一级资质证书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254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省文物局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文物保护工程监理甲级资质证书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《中华人民共和国文物保护法》《中华人民共和国文物保护法实施条例》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国家文物局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1.实现申请、审批全程网上办理。2.不再要求申请人提供企业章程、主要设备发票等材料。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1.加强“互联网+监管”，发现违法违规行为要依法查处并公开结果。2.依法及时处理投诉举报。3.针对发现的普遍性和突出问题开展专项检查。</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煤矿安全生产许可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安全生产许可证（煤矿）</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并在网上公布审批程序、受理条件、办理标准，公开办理进度。2.不再要求申请人提供主要负责人及安全生产管理人员的安全生产知识和管理能力考核合格证复印件、特种作业人员操作资格证复印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分级分类监管监察要求，严格按计划实施监管监察执法。2.严格按照安全生产条件对企业申报材料进行审查，对不具备安全生产条件的，不予颁发安全生产许可证。3.加强信用监管，依法依规将存在违法违规失信行为的煤矿企业纳入黑名单，并开展失信惩戒。</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国家矿山安全监察局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非煤矿矿山企业安全生产许可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安全生产许可证（非煤矿山）</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1.实现申请、审批全程网上办理。2.不再要求地质勘探单位提供地质勘查资质证书复印件，不再要求从事爆破作业的金属非金属矿山、地质勘查和采掘施工单位提供爆破作业单位许可证复印件。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1.开展“双随机、一公开”监管，发现违法违规行为要依法查处并公开结果。2.加强信用监管，依法依规对失信主体开展失信惩戒。</w:t>
            </w:r>
          </w:p>
        </w:tc>
      </w:tr>
      <w:tr>
        <w:trPr>
          <w:cantSplit/>
          <w:trHeight w:val="29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6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银行、农村信用社、兑换机构及非金融机构等结汇、售汇业务市场准入、退出审批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批准文件、个人本外币兑换特许业务经营许可证或备案通知书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国家外汇局、外汇分局及外汇管理部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rPr>
          <w:cantSplit/>
          <w:trHeight w:val="2921"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479</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国家外汇局山西省分局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保险、证券公司等非银行金融机构外汇业务市场准入、退出审批</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《中华人民共和国外汇管理条例》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国家外汇局及外汇分支局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实现预审、审批进度和结果网上查询，推动实现全程网上办理。</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1.开展“双随机、一公开”监管，依法查处违规行为，适时公开相关案例。2.依法及时处理投诉举报。3.开展数据统计与监测，掌握外汇业务情况。</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480</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不再要求申请人提供营业执照等材料。</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1.落实“四个最严”要求，严格执行药品法律法规规章和标准。2.加强日常监管，通过检查、检验、监测等手段督促企业持续合规经营，依法查处违法违规行为。3.及时向社会公开许可信息，加强社会监督。</w:t>
            </w:r>
          </w:p>
        </w:tc>
      </w:tr>
      <w:tr>
        <w:trPr>
          <w:cantSplit/>
          <w:trHeight w:val="2934"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481</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《中华人民共和国药品管理法》《中华人民共和国药品管理法实施条例》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取消筹建药品批发企业申请。2.药品批发企业申请药品经营许可证变更企业名称、法定代表人、企业负责人、企业质量负责人实施当日办结。3.实现申请、审批全程网上办理。4.压缩审批材料，不再要求申请人提供营业执照、无违法违规证明等材料。</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1.落实“四个最严”要求，制定年度监管计划，突出监管重点，强化风险控制。2.通过日常监管督促企业不断完善、改进质量管理体系，持续合法合规经营。3.对违法违规行为，依法严厉查处并公开曝光。</w:t>
            </w:r>
          </w:p>
        </w:tc>
      </w:tr>
      <w:tr>
        <w:trPr>
          <w:cantSplit/>
          <w:trHeight w:val="7436"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482</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化妆品生产许可证</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《化妆品监督管理条例》</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申请许可提交的材料精简，不再要求申请人提供营业执照复印件、法定代表人身份证复印件等材料。2.创新“互联网＋许可”，全面推行化妆品许可全流程网上办理。3.进一步优化审批服务：缩短许可时限，作出行政许可决定的时限缩短至自受理申请之日起20个工作日内；因特殊原因需要延长时限的，经本行政机关负责人批准，可以延长5个工作日。4.对申请人申请企业名称、法定代表人、质量负责人、生产地址文字性变化（地理位置等不变）或企业住所等登记事项发生变化，而企业生产条件、检验能力、生产技术和工艺等未发生变化的变更、补证等许可事项，实施当日办结。</w:t>
            </w:r>
          </w:p>
        </w:tc>
        <w:tc>
          <w:tcPr>
            <w:tcW w:w="3454" w:type="dxa"/>
            <w:tcBorders>
              <w:top w:val="nil"/>
              <w:left w:val="nil"/>
              <w:bottom w:val="single" w:color="auto" w:sz="4" w:space="0"/>
              <w:right w:val="single" w:color="auto" w:sz="4" w:space="0"/>
            </w:tcBorders>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加强化妆品监督抽验，对检验不合格产品依法查处并通告。2.加强对化妆品生产企业的飞行检查，发现违法行为依法查处并通告。3.加强化妆品不良反应监测，对发生严重不良反应的产品及其生产企业依法进行调查，发现违法违规行为要依法查处。</w:t>
            </w:r>
          </w:p>
        </w:tc>
      </w:tr>
      <w:tr>
        <w:trPr>
          <w:cantSplit/>
          <w:trHeight w:val="1267" w:hRule="atLeast"/>
          <w:jc w:val="center"/>
        </w:trPr>
        <w:tc>
          <w:tcPr>
            <w:tcW w:w="567" w:type="dxa"/>
            <w:tcBorders>
              <w:top w:val="nil"/>
              <w:left w:val="single" w:color="auto" w:sz="4" w:space="0"/>
              <w:bottom w:val="single" w:color="auto" w:sz="4" w:space="0"/>
              <w:right w:val="single" w:color="auto" w:sz="4" w:space="0"/>
            </w:tcBorders>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483</w:t>
            </w:r>
          </w:p>
        </w:tc>
        <w:tc>
          <w:tcPr>
            <w:tcW w:w="587"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新药生产和上市许可</w:t>
            </w:r>
          </w:p>
        </w:tc>
        <w:tc>
          <w:tcPr>
            <w:tcW w:w="94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药品注册批件</w:t>
            </w:r>
          </w:p>
        </w:tc>
        <w:tc>
          <w:tcPr>
            <w:tcW w:w="9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1.实现申请、审批全程网上办理。2.将审批时限由20个工作日压减至14个工作日。</w:t>
            </w:r>
          </w:p>
        </w:tc>
        <w:tc>
          <w:tcPr>
            <w:tcW w:w="3454" w:type="dxa"/>
            <w:tcBorders>
              <w:top w:val="nil"/>
              <w:left w:val="nil"/>
              <w:bottom w:val="single" w:color="auto" w:sz="4" w:space="0"/>
              <w:right w:val="single" w:color="auto" w:sz="4" w:space="0"/>
            </w:tcBorders>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1.及时公开许可信息。2.加强药品上市后的监管，发现问题依法处理。3.强化部门间信息共享应用。</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医疗机构配制制剂许可证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落实“四个最严”要求，严格执行药品法律法规规章和标准。2.加强日常监管，通过检查、检验、监测等手段督促医疗机构配制制剂持续合规，依法查处违法违规行为。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国产药品再注册审批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药品再注册批件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《中华人民共和国药品管理法实施条例》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1.实现申请、审批全程网上办理。2.公布审批程序、受理条件和办理标准，公开办理进度。3.整合药品生产经营许可等审批事项中相关联的现场检查，提高审批效率。</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1.按照程序及时公开许可信息。2.加强药品上市后监管，发现问题依法处理。3.推进部门间信息共享应用。</w:t>
            </w:r>
          </w:p>
        </w:tc>
      </w:tr>
      <w:tr>
        <w:trPr>
          <w:cantSplit/>
          <w:trHeight w:val="23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放射性药品生产企业许可证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将放射性药品生产企业审批权限由国家药监局和国家国防科工局下放至省药监局和省国防科工局。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生产企业加强监管。2.实施重点监管，发现违法违规行为要依法严查重处。3.完善药监、国防科工、生态环境等部门间的协调配合机制，及时共享放射性药品生产企业信息。4.及时向社会公开许可证有关信息，加强社会监督。</w:t>
            </w:r>
          </w:p>
        </w:tc>
      </w:tr>
      <w:tr>
        <w:trPr>
          <w:cantSplit/>
          <w:trHeight w:val="249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放射性药品经营企业许可证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将放射性药品经营企业审批权限由国家药监局和国家国防科工局下放至省药监局和省国防科工局。</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放射性药品经营企业加强监管。2.实施重点监管，发现违法违规行为要依法严查重处。3.完善药监、国防科工、生态环境等部门间的协调配合机制，及时共享放射性药品经营企业信息。4.及时向社会公开许可信息，加强社会监督。</w:t>
            </w:r>
          </w:p>
        </w:tc>
      </w:tr>
      <w:tr>
        <w:trPr>
          <w:cantSplit/>
          <w:trHeight w:val="266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医疗机构使用放射性药品（三、四类）许可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放射性药品使用许可证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《放射性药品管理办法》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不再要求申请人提供人员资历证明等材料。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医疗机构使用放射性药品加强监管。2.完善药监、卫生健康、生态环境等部门间的协调配合机制，及时共享医疗机构使用放射性药品信息。3.实施重点监管，发现违法违规行为要依法严查重处。4.及时向社会公开许可信息，加强社会监督。</w:t>
            </w:r>
          </w:p>
        </w:tc>
      </w:tr>
      <w:tr>
        <w:trPr>
          <w:cantSplit/>
          <w:trHeight w:val="228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489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生产第一类中的药品类易制毒化学品审批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药品类易制毒化学品生产许可批件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7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经营第一类中的药品类易制毒化学品审批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在药品经营许可证经营范围中标注“药品类易制毒化学品”，括号内标注药品类易制毒化学品名称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《易制毒化学品管理条例》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80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麻醉药品和精神药品生产企业审批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麻醉药品和精神药品定点生产批件在药品生产许可证正本标注类别，副本上类别后标注药品名称</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不再要求申请人提供药品生产许可证、药品生产质量管理规范（GMP）证书等材料。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98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麻醉药品和第一类精神药品批发企业审批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批准文件，在药品经营许可证上注明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麻醉药品和精神药品进出口准许证核发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麻醉药品出口准许证、麻醉药品进口准许证、精神药品出口准许证、精神药品进口准许证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《中华人民共和国药品管理法》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hint="eastAsia" w:ascii="仿宋_GB2312" w:hAnsi="仿宋_GB2312" w:eastAsia="仿宋_GB2312" w:cs="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不再要求申请人提供药品生产许可证等材料。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药品经营企业从事第二类精神药品批发业务的审批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9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第二类精神药品零售业务审批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批准文件，在药品经营许可证经营范围中注明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《麻醉药品和精神药品管理条例》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220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药品批发企业经营蛋白同化制剂、肽类激素审批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在药品经营许可证上注明</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不再要求申请人提供药品经营许可证、药品经营质量管理规范（GSP）证书等材料。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88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蛋白同化制剂、肽类激素进口准许证核发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药品进口准许证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《反兴奋剂条例》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不再要求申请人提供药品生产许可证、药品经营许可证等材料。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1.严格执行有关法律法规和规章，对特殊药品生产、经营企业加强监管。2.实施重点监管，发现违法违规行为要依法严查重处。3.及时向社会公开许可信息，加强社会监督。</w:t>
            </w:r>
          </w:p>
        </w:tc>
      </w:tr>
      <w:tr>
        <w:trPr>
          <w:cantSplit/>
          <w:trHeight w:val="158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第二类、第三类医疗器械生产许可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0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加大执法检查力度，督促企业严格落实医疗器械生产质量管理规范要求，发现违法违规行为要依法严查重处。</w:t>
            </w:r>
          </w:p>
        </w:tc>
      </w:tr>
      <w:tr>
        <w:trPr>
          <w:cantSplit/>
          <w:trHeight w:val="283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499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第二类医疗器械产品注册审批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医疗器械注册证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627"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28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28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1.推动实现第二类医疗器械审评标准规范统一。2.不再要求申请人提供营业执照、法定代表人或者主要负责人身份证明等材料，通过部门间信息共享获取相关信息。3.将审批时限由20个工作日压减至14个工作日。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1.将医疗器械注册数据上报情况列入年度考核内容。2.加大执法检查力度，发现违法违规行为要依法严查重处。</w:t>
            </w:r>
          </w:p>
        </w:tc>
      </w:tr>
      <w:tr>
        <w:trPr>
          <w:cantSplit/>
          <w:trHeight w:val="18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第三类医疗器械经营许可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《医疗器械监督管理条例》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市行政审批局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将审批时限由30个工作日压减至20个工作日。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加大执法检查力度，督促企业严格落实医疗器械经营质量管理规范要求，发现违法违规行为要依法严查重处。</w:t>
            </w:r>
          </w:p>
        </w:tc>
      </w:tr>
      <w:tr>
        <w:trPr>
          <w:cantSplit/>
          <w:trHeight w:val="273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省药监局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药物非临床研究质量管理规范（GLP）认证</w:t>
            </w:r>
          </w:p>
        </w:tc>
        <w:tc>
          <w:tcPr>
            <w:tcW w:w="941"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药物GLP认证批件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国家药监局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1.实现申请、审批全程网上办理。2.不再要求申请人提供药物研究机构备案证明文件等材料。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1.推动落实省药监局药品注册管理的日常监管职责。2.对已通过认证的机构每3年开展定期检查。3.对注册品种检查过程中发现的违法违规行为要依法查处。</w:t>
            </w:r>
          </w:p>
        </w:tc>
      </w:tr>
      <w:tr>
        <w:trPr>
          <w:cantSplit/>
          <w:trHeight w:val="372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76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制作、复制、维修、销毁国家秘密载体定点单位乙级资质认定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国家秘密载体印制乙级资质证书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822"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涉密信息系统集成单位甲级资质认定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涉密信息系统集成甲级资质证书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3616"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涉密信息系统集成单位乙级资质认定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涉密信息系统集成乙级资质证书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1.不再要求申请人提供验资报告、上一年度财务审计报告、电子与智能化工程专业承包资质等材料。2.将资质证书有效期限由3年延长至5年。</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28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武器装备科研生产单位一级保密资格证书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国家保密局会同国家国防科工局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271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国家保密局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武器装备科研生产单位二级保密资格证书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28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《中华人民共和国保守国家秘密法》《中华人民共和国保守国家秘密法实施条例》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省国家保密局会同省国防科工局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不再要求申请人提供上一年度财务审计报告等材料。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1.开展“双随机、一公开”监管，继续采取飞行检查，完善联动处置机制，发现违规行为要依法查处。2.将监管结果纳入市场主体的社会信用记录，增强保密资质（格）单位的保密意识，提高保密管理水平。</w:t>
            </w:r>
          </w:p>
        </w:tc>
      </w:tr>
      <w:tr>
        <w:trPr>
          <w:cantSplit/>
          <w:trHeight w:val="1975"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省国家密码局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商用密码产品质量检测机构审批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商用密码产品检测机构资质证书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《商用密码管理条例》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国家密码局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不再要求申请人提供法人资格证明等材料。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对有投诉举报和质量问题的机构实施重点监管。3.加强信用监管，依法向社会公布商用密码产品质量检测机构信用状况，依法依规对失信主体开展失信惩戒。</w:t>
            </w:r>
          </w:p>
        </w:tc>
      </w:tr>
      <w:tr>
        <w:trPr>
          <w:cantSplit/>
          <w:trHeight w:val="311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509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电影发行单位设立、变更业务范围或者兼并、合并、分立审批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电影发行经营许可证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能够通过企业信用信息公示系统直接查询的，不再要求申请人提供营业执照等材料。</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1.开展“双随机、一公开”监管，发现违法违规行为要依法查处并公开结果。2.依法及时处理投诉举报。3.发挥行业协会自律作用。</w:t>
            </w:r>
          </w:p>
        </w:tc>
      </w:tr>
      <w:tr>
        <w:trPr>
          <w:cantSplit/>
          <w:trHeight w:val="2561"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电影放映单位设立审批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《中华人民共和国电影产业促进法》《电影管理条例》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县（区）电影主管部门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实行申请材料网上预审。</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rPr>
          <w:cantSplit/>
          <w:trHeight w:val="1757"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国家电影局</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外商投资电影院设立许可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电影放映经营许可证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《电影管理条例》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省电影局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取消申请材料中省商务厅批准设立外商投资电影院的文件。</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1.开展“双随机、一公开”监管，畅通投诉举报渠道。2.发挥行业协会自律作用。</w:t>
            </w:r>
          </w:p>
        </w:tc>
      </w:tr>
      <w:tr>
        <w:trPr>
          <w:cantSplit/>
          <w:trHeight w:val="287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省人防办</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人民防空工程防护设备定点生产企业资格认定</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人民防空工程防护设备定点生产安装企业资格认定证书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国家人防办</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1.根据行业发展状况和技术特点，按照必要性和最简化原则，对防护设备实行目录管理。2.将审批时限由20个工作日压减至15个工作日。</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开展“双随机、一公开”监管，根据不同风险程度、信用水平，合理确定抽查比例。2.对有投诉举报和质量问题的企业实施重点监管。3.对人防企业的从业行为和产品质量实施“互联网+监管”，针对发现的普遍性问题和突发风险开展专项检查。4.加强信用监管，依法依规构建黑名单制度，并建立相关失信惩戒制度。</w:t>
            </w:r>
          </w:p>
        </w:tc>
      </w:tr>
      <w:tr>
        <w:trPr>
          <w:cantSplit/>
          <w:trHeight w:val="308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港口（涉及客运和危险货物港口作业的经营项目除外）经营许可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14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514</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港口（旅客、危险货物）经营许可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港口经营许可证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省交通厅或所在地港口部门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515</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航运公司安全营运与防污染能力符合证明核发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符合证明、船舶安全管理证书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《国务院对确需保留的行政审批项目设定行政许可的决定》《防治船舶污染海洋环境管理条例》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交通运输部直属海事局、分支海事局</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69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516</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从事内地与港澳间客船、散装液体危险品船运输业务许可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交通行政许可决定书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《国务院对确需保留的行政审批项目设定行政许可的决定》《中华人民共和国国际海运条例》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29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517</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港口设施保安证书核发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港口设施保安符合证书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《国务院对确需保留的行政审批项目设定行政许可的决定》</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168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518</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建设港口设施使用非深水岸线审批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省、市、县交通运输（港口）部门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519</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省交通厅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建设港口设施使用深水岸线审批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批准文件</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《中华人民共和国港口法》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交通运输部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334"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520</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省自然资源厅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深海海底区域资源勘探开发许可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深海海底区域资源勘探证书</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《中华人民共和国深海海底区域资源勘探开发法》</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自然资源部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79"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521</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烟花爆竹生产企业安全生产许可证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《安全生产许可证条例》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73"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522</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烟花爆竹经营（批发）许可证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设区的市级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r>
        <w:trPr>
          <w:cantSplit/>
          <w:trHeight w:val="2428"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tabs>
                <w:tab w:val="left" w:pos="213"/>
              </w:tabs>
              <w:adjustRightInd w:val="0"/>
              <w:spacing w:line="320" w:lineRule="exact"/>
              <w:jc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523</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应急部</w:t>
            </w:r>
          </w:p>
        </w:tc>
        <w:tc>
          <w:tcPr>
            <w:tcW w:w="76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省应急厅</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烟花爆竹经营（零售）许可证</w:t>
            </w:r>
          </w:p>
        </w:tc>
        <w:tc>
          <w:tcPr>
            <w:tcW w:w="95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《烟花爆竹安全管理条例》</w:t>
            </w:r>
          </w:p>
        </w:tc>
        <w:tc>
          <w:tcPr>
            <w:tcW w:w="90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县级</w:t>
            </w:r>
            <w:r>
              <w:rPr>
                <w:rFonts w:hint="eastAsia" w:ascii="Times New Roman" w:hAnsi="Times New Roman" w:eastAsia="仿宋_GB2312"/>
                <w:color w:val="auto"/>
                <w:kern w:val="0"/>
                <w:sz w:val="18"/>
                <w:szCs w:val="18"/>
              </w:rPr>
              <w:t>应急部</w:t>
            </w:r>
            <w:r>
              <w:rPr>
                <w:rFonts w:ascii="Times New Roman" w:hAnsi="Times New Roman" w:eastAsia="仿宋_GB2312"/>
                <w:color w:val="auto"/>
                <w:kern w:val="0"/>
                <w:sz w:val="18"/>
                <w:szCs w:val="18"/>
              </w:rPr>
              <w:t>门</w:t>
            </w:r>
          </w:p>
        </w:tc>
        <w:tc>
          <w:tcPr>
            <w:tcW w:w="627"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86"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32" w:type="dxa"/>
            <w:tcBorders>
              <w:top w:val="nil"/>
              <w:left w:val="nil"/>
              <w:bottom w:val="single" w:color="auto" w:sz="4" w:space="0"/>
              <w:right w:val="single" w:color="auto" w:sz="4" w:space="0"/>
            </w:tcBorders>
            <w:shd w:val="clear" w:color="000000" w:fill="FFFFFF"/>
            <w:vAlign w:val="center"/>
          </w:tcPr>
          <w:p>
            <w:pPr>
              <w:spacing w:line="320" w:lineRule="exact"/>
              <w:jc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2496"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c>
          <w:tcPr>
            <w:tcW w:w="3454" w:type="dxa"/>
            <w:tcBorders>
              <w:top w:val="nil"/>
              <w:left w:val="nil"/>
              <w:bottom w:val="single" w:color="auto" w:sz="4" w:space="0"/>
              <w:right w:val="single" w:color="auto" w:sz="4" w:space="0"/>
            </w:tcBorders>
            <w:shd w:val="clear" w:color="000000" w:fill="FFFFFF"/>
            <w:vAlign w:val="center"/>
          </w:tcPr>
          <w:p>
            <w:pPr>
              <w:widowControl/>
              <w:spacing w:line="320" w:lineRule="exact"/>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我</w:t>
            </w:r>
            <w:r>
              <w:rPr>
                <w:rFonts w:hint="eastAsia" w:ascii="Times New Roman" w:hAnsi="Times New Roman" w:eastAsia="仿宋_GB2312"/>
                <w:color w:val="auto"/>
                <w:kern w:val="0"/>
                <w:sz w:val="18"/>
                <w:szCs w:val="18"/>
              </w:rPr>
              <w:t>市</w:t>
            </w:r>
            <w:r>
              <w:rPr>
                <w:rFonts w:ascii="Times New Roman" w:hAnsi="Times New Roman" w:eastAsia="仿宋_GB2312"/>
                <w:color w:val="auto"/>
                <w:kern w:val="0"/>
                <w:sz w:val="18"/>
                <w:szCs w:val="18"/>
              </w:rPr>
              <w:t>不涉及此许可事项。</w:t>
            </w:r>
          </w:p>
        </w:tc>
      </w:tr>
    </w:tbl>
    <w:p>
      <w:pPr>
        <w:spacing w:line="320" w:lineRule="exact"/>
        <w:rPr>
          <w:color w:val="auto"/>
          <w:sz w:val="44"/>
          <w:szCs w:val="44"/>
        </w:rPr>
      </w:pPr>
    </w:p>
    <w:p>
      <w:pPr>
        <w:spacing w:line="600" w:lineRule="exact"/>
        <w:ind w:left="0" w:hanging="1744" w:hangingChars="400"/>
        <w:jc w:val="center"/>
        <w:rPr>
          <w:rFonts w:ascii="方正小标宋简体" w:hAnsi="华文中宋" w:eastAsia="方正小标宋简体" w:cs="华文中宋"/>
          <w:color w:val="auto"/>
          <w:sz w:val="44"/>
          <w:szCs w:val="44"/>
        </w:rPr>
      </w:pPr>
      <w:r>
        <w:rPr>
          <w:rFonts w:hint="eastAsia" w:ascii="方正小标宋简体" w:hAnsi="华文中宋" w:eastAsia="方正小标宋简体" w:cs="华文中宋"/>
          <w:color w:val="auto"/>
          <w:sz w:val="44"/>
          <w:szCs w:val="44"/>
        </w:rPr>
        <w:t>（省级层面设定事项）</w:t>
      </w:r>
    </w:p>
    <w:p>
      <w:pPr>
        <w:pStyle w:val="2"/>
        <w:spacing w:line="320" w:lineRule="exact"/>
        <w:rPr>
          <w:rFonts w:hint="eastAsia"/>
          <w:color w:val="auto"/>
        </w:rPr>
      </w:pPr>
    </w:p>
    <w:tbl>
      <w:tblPr>
        <w:tblW w:w="138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6"/>
        <w:gridCol w:w="586"/>
        <w:gridCol w:w="818"/>
        <w:gridCol w:w="900"/>
        <w:gridCol w:w="941"/>
        <w:gridCol w:w="955"/>
        <w:gridCol w:w="914"/>
        <w:gridCol w:w="613"/>
        <w:gridCol w:w="587"/>
        <w:gridCol w:w="545"/>
        <w:gridCol w:w="573"/>
        <w:gridCol w:w="2877"/>
        <w:gridCol w:w="3000"/>
      </w:tblGrid>
      <w:tr>
        <w:trPr>
          <w:cantSplit/>
          <w:trHeight w:val="333" w:hRule="atLeast"/>
          <w:tblHeader/>
          <w:jc w:val="center"/>
        </w:trPr>
        <w:tc>
          <w:tcPr>
            <w:tcW w:w="546"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序号</w:t>
            </w:r>
          </w:p>
        </w:tc>
        <w:tc>
          <w:tcPr>
            <w:tcW w:w="58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国家主管部门</w:t>
            </w:r>
          </w:p>
        </w:tc>
        <w:tc>
          <w:tcPr>
            <w:tcW w:w="818" w:type="dxa"/>
            <w:vMerge w:val="restart"/>
            <w:tcBorders>
              <w:top w:val="single" w:color="auto" w:sz="4" w:space="0"/>
              <w:left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省级</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主管</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部门</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事项</w:t>
            </w:r>
          </w:p>
        </w:tc>
        <w:tc>
          <w:tcPr>
            <w:tcW w:w="941"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许可证件名称</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设定依据</w:t>
            </w:r>
          </w:p>
        </w:tc>
        <w:tc>
          <w:tcPr>
            <w:tcW w:w="91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审批</w:t>
            </w:r>
          </w:p>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层级和部门</w:t>
            </w:r>
          </w:p>
        </w:tc>
        <w:tc>
          <w:tcPr>
            <w:tcW w:w="2318" w:type="dxa"/>
            <w:gridSpan w:val="4"/>
            <w:tcBorders>
              <w:top w:val="single" w:color="auto" w:sz="4" w:space="0"/>
              <w:left w:val="nil"/>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改革方式</w:t>
            </w:r>
          </w:p>
        </w:tc>
        <w:tc>
          <w:tcPr>
            <w:tcW w:w="287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具体改革举措</w:t>
            </w:r>
          </w:p>
        </w:tc>
        <w:tc>
          <w:tcPr>
            <w:tcW w:w="30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黑体" w:hAnsi="黑体" w:eastAsia="黑体"/>
                <w:color w:val="auto"/>
                <w:kern w:val="0"/>
                <w:sz w:val="18"/>
                <w:szCs w:val="18"/>
              </w:rPr>
            </w:pPr>
            <w:r>
              <w:rPr>
                <w:rFonts w:ascii="黑体" w:hAnsi="黑体" w:eastAsia="黑体"/>
                <w:color w:val="auto"/>
                <w:kern w:val="0"/>
                <w:sz w:val="18"/>
                <w:szCs w:val="18"/>
              </w:rPr>
              <w:t>加强事中事后监管措施</w:t>
            </w:r>
          </w:p>
        </w:tc>
      </w:tr>
      <w:tr>
        <w:trPr>
          <w:cantSplit/>
          <w:trHeight w:val="930" w:hRule="atLeast"/>
          <w:tblHeader/>
          <w:jc w:val="center"/>
        </w:trPr>
        <w:tc>
          <w:tcPr>
            <w:tcW w:w="546" w:type="dxa"/>
            <w:vMerge w:val="continue"/>
            <w:tcBorders>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eastAsia="仿宋_GB2312"/>
                <w:b/>
                <w:bCs/>
                <w:color w:val="auto"/>
                <w:kern w:val="0"/>
                <w:sz w:val="18"/>
                <w:szCs w:val="18"/>
              </w:rPr>
            </w:pPr>
          </w:p>
        </w:tc>
        <w:tc>
          <w:tcPr>
            <w:tcW w:w="58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818"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4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9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c>
          <w:tcPr>
            <w:tcW w:w="61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直接取消审批</w:t>
            </w:r>
          </w:p>
        </w:tc>
        <w:tc>
          <w:tcPr>
            <w:tcW w:w="587"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审批改为备案</w:t>
            </w:r>
          </w:p>
        </w:tc>
        <w:tc>
          <w:tcPr>
            <w:tcW w:w="545"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实行告知承诺</w:t>
            </w:r>
          </w:p>
        </w:tc>
        <w:tc>
          <w:tcPr>
            <w:tcW w:w="573" w:type="dxa"/>
            <w:tcBorders>
              <w:top w:val="nil"/>
              <w:left w:val="nil"/>
              <w:bottom w:val="single" w:color="auto" w:sz="4" w:space="0"/>
              <w:right w:val="single" w:color="auto" w:sz="4" w:space="0"/>
            </w:tcBorders>
            <w:vAlign w:val="center"/>
          </w:tcPr>
          <w:p>
            <w:pPr>
              <w:widowControl/>
              <w:spacing w:line="320" w:lineRule="exact"/>
              <w:jc w:val="center"/>
              <w:rPr>
                <w:rFonts w:ascii="黑体" w:hAnsi="黑体" w:eastAsia="黑体"/>
                <w:color w:val="auto"/>
                <w:spacing w:val="-16"/>
                <w:kern w:val="0"/>
                <w:sz w:val="18"/>
                <w:szCs w:val="18"/>
              </w:rPr>
            </w:pPr>
            <w:r>
              <w:rPr>
                <w:rFonts w:ascii="黑体" w:hAnsi="黑体" w:eastAsia="黑体"/>
                <w:color w:val="auto"/>
                <w:spacing w:val="-16"/>
                <w:kern w:val="0"/>
                <w:sz w:val="18"/>
                <w:szCs w:val="18"/>
              </w:rPr>
              <w:t>优化审批服务</w:t>
            </w:r>
          </w:p>
        </w:tc>
        <w:tc>
          <w:tcPr>
            <w:tcW w:w="287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黑体" w:hAnsi="黑体" w:eastAsia="黑体"/>
                <w:b/>
                <w:bCs/>
                <w:color w:val="auto"/>
                <w:kern w:val="0"/>
                <w:sz w:val="18"/>
                <w:szCs w:val="18"/>
              </w:rPr>
            </w:pPr>
          </w:p>
        </w:tc>
        <w:tc>
          <w:tcPr>
            <w:tcW w:w="3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eastAsia="仿宋_GB2312"/>
                <w:b/>
                <w:bCs/>
                <w:color w:val="auto"/>
                <w:kern w:val="0"/>
                <w:sz w:val="18"/>
                <w:szCs w:val="18"/>
              </w:rPr>
            </w:pPr>
          </w:p>
        </w:tc>
      </w:tr>
      <w:tr>
        <w:trPr>
          <w:cantSplit/>
          <w:trHeight w:val="2711"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省市场监管局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食品小作坊许可</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【地方性法规】《山西省食品小作坊小经营店小摊点管理条例》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县（区）市场监管或行政审批部门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待取得山西省人大常委会授权调整适用《山西省食品小作坊小经营店小摊点管理条例》后，由审批改为备案。</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1.严格执行法律法规标准，开展“双随机、一公开”监管，发现违法违规行为要依法查处并公布结果。2.加强信用监管，向社会公布食品生产企业信用状况，对失信主体开展联合惩戒。</w:t>
            </w:r>
          </w:p>
        </w:tc>
      </w:tr>
      <w:tr>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2</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安全技术防范系统设计、安装、监理、运营审批</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【地方性法规】《山西省安全技术防范条例》</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省公安厅；</w:t>
            </w:r>
          </w:p>
          <w:p>
            <w:pPr>
              <w:widowControl/>
              <w:spacing w:line="320" w:lineRule="exact"/>
              <w:textAlignment w:val="center"/>
              <w:rPr>
                <w:rFonts w:hint="eastAsia" w:ascii="Times New Roman" w:hAnsi="Times New Roman" w:eastAsia="仿宋_GB2312"/>
                <w:color w:val="auto"/>
                <w:kern w:val="0"/>
                <w:sz w:val="18"/>
                <w:szCs w:val="18"/>
              </w:rPr>
            </w:pPr>
            <w:r>
              <w:rPr>
                <w:rFonts w:ascii="Times New Roman" w:hAnsi="Times New Roman" w:eastAsia="仿宋_GB2312"/>
                <w:color w:val="auto"/>
                <w:kern w:val="0"/>
                <w:sz w:val="18"/>
                <w:szCs w:val="18"/>
              </w:rPr>
              <w:t>市公安</w:t>
            </w:r>
            <w:r>
              <w:rPr>
                <w:rFonts w:hint="eastAsia" w:ascii="Times New Roman" w:hAnsi="Times New Roman" w:eastAsia="仿宋_GB2312"/>
                <w:color w:val="auto"/>
                <w:kern w:val="0"/>
                <w:sz w:val="18"/>
                <w:szCs w:val="18"/>
              </w:rPr>
              <w:t>局</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取消该项许可审批。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全面落实“双随机、一公开”监管、跨部门联合监管和“互联网+监管”。2.强化社会信用监督，建立统一的“黑名单”制度，对失信主体在行业准入环节依法实施限制或禁入。3.发挥社会监督作用，引导社会力量参与市场秩序治理，共同推进联合惩戒等市场禁入措施落到实处。</w:t>
            </w:r>
          </w:p>
        </w:tc>
      </w:tr>
      <w:tr>
        <w:trPr>
          <w:cantSplit/>
          <w:trHeight w:val="3538"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3</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【地方性法规】《山西省实施&lt;中华人民共和国野生动物保护法&gt;办法》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hint="eastAsia"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市规划和自然资源局；县（区）规划和自然资源或行政审批部门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p>
            <w:pPr>
              <w:widowControl/>
              <w:spacing w:line="320" w:lineRule="exact"/>
              <w:textAlignment w:val="center"/>
              <w:rPr>
                <w:rFonts w:ascii="Times New Roman" w:hAnsi="Times New Roman" w:eastAsia="仿宋_GB2312"/>
                <w:color w:val="auto"/>
                <w:kern w:val="0"/>
                <w:sz w:val="18"/>
                <w:szCs w:val="18"/>
              </w:rPr>
            </w:pP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省级重点保护、“三有”陆生野生动物人工繁育机构实施日常管理，发现违法违规行为要依法查处并向社会公开查处结果。2.依法对省级重点保护、“三有”陆生野生动物人工繁育活动进行监管，指导有关人工繁育机构提升业务能力和管理水平。</w:t>
            </w:r>
          </w:p>
        </w:tc>
      </w:tr>
      <w:tr>
        <w:trPr>
          <w:cantSplit/>
          <w:trHeight w:val="3402" w:hRule="atLeast"/>
          <w:jc w:val="center"/>
        </w:trPr>
        <w:tc>
          <w:tcPr>
            <w:tcW w:w="546" w:type="dxa"/>
            <w:tcBorders>
              <w:top w:val="nil"/>
              <w:left w:val="single" w:color="auto" w:sz="4" w:space="0"/>
              <w:bottom w:val="single" w:color="auto" w:sz="4" w:space="0"/>
              <w:right w:val="single" w:color="auto" w:sz="4" w:space="0"/>
            </w:tcBorders>
            <w:shd w:val="clear" w:color="000000" w:fill="FFFFFF"/>
            <w:vAlign w:val="center"/>
          </w:tcPr>
          <w:p>
            <w:pPr>
              <w:widowControl/>
              <w:spacing w:line="320" w:lineRule="exact"/>
              <w:jc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4</w:t>
            </w:r>
          </w:p>
        </w:tc>
        <w:tc>
          <w:tcPr>
            <w:tcW w:w="586"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818"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省林草局</w:t>
            </w:r>
          </w:p>
        </w:tc>
        <w:tc>
          <w:tcPr>
            <w:tcW w:w="9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41"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非重点保护陆生野生动物人工繁育许可证核发</w:t>
            </w:r>
          </w:p>
        </w:tc>
        <w:tc>
          <w:tcPr>
            <w:tcW w:w="95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【地方性法规】《山西省实施</w:t>
            </w:r>
            <w:r>
              <w:rPr>
                <w:rFonts w:hint="eastAsia" w:ascii="Times New Roman" w:hAnsi="Times New Roman"/>
                <w:color w:val="auto"/>
                <w:kern w:val="0"/>
                <w:sz w:val="18"/>
                <w:szCs w:val="18"/>
                <w:lang w:val="en-US" w:eastAsia="zh-CN"/>
              </w:rPr>
              <w:t>&lt;</w:t>
            </w:r>
            <w:r>
              <w:rPr>
                <w:rFonts w:ascii="Times New Roman" w:hAnsi="Times New Roman" w:eastAsia="仿宋_GB2312"/>
                <w:color w:val="auto"/>
                <w:kern w:val="0"/>
                <w:sz w:val="18"/>
                <w:szCs w:val="18"/>
              </w:rPr>
              <w:t>中华人民共和国野生动物保护法</w:t>
            </w:r>
            <w:r>
              <w:rPr>
                <w:rFonts w:hint="eastAsia" w:ascii="Times New Roman" w:hAnsi="Times New Roman"/>
                <w:color w:val="auto"/>
                <w:kern w:val="0"/>
                <w:sz w:val="18"/>
                <w:szCs w:val="18"/>
                <w:lang w:eastAsia="zh-CN"/>
              </w:rPr>
              <w:t>&gt;</w:t>
            </w:r>
            <w:r>
              <w:rPr>
                <w:rFonts w:ascii="Times New Roman" w:hAnsi="Times New Roman" w:eastAsia="仿宋_GB2312"/>
                <w:color w:val="auto"/>
                <w:kern w:val="0"/>
                <w:sz w:val="18"/>
                <w:szCs w:val="18"/>
              </w:rPr>
              <w:t>办法》</w:t>
            </w:r>
          </w:p>
        </w:tc>
        <w:tc>
          <w:tcPr>
            <w:tcW w:w="914"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hint="eastAsia" w:ascii="Times New Roman" w:hAnsi="Times New Roman" w:eastAsia="仿宋_GB2312"/>
                <w:color w:val="auto"/>
                <w:kern w:val="0"/>
                <w:sz w:val="18"/>
                <w:szCs w:val="18"/>
              </w:rPr>
              <w:t>县（区）规划和自然资源或行政审批部门</w:t>
            </w:r>
          </w:p>
        </w:tc>
        <w:tc>
          <w:tcPr>
            <w:tcW w:w="613"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w:t>
            </w:r>
          </w:p>
        </w:tc>
        <w:tc>
          <w:tcPr>
            <w:tcW w:w="587" w:type="dxa"/>
            <w:tcBorders>
              <w:top w:val="nil"/>
              <w:left w:val="nil"/>
              <w:bottom w:val="single" w:color="auto" w:sz="4" w:space="0"/>
              <w:right w:val="single" w:color="auto" w:sz="4" w:space="0"/>
            </w:tcBorders>
            <w:shd w:val="clear" w:color="000000" w:fill="FFFFFF"/>
            <w:vAlign w:val="center"/>
          </w:tcPr>
          <w:p>
            <w:pPr>
              <w:widowControl/>
              <w:spacing w:line="320" w:lineRule="exact"/>
              <w:jc w:val="center"/>
              <w:textAlignment w:val="center"/>
              <w:rPr>
                <w:rFonts w:ascii="Times New Roman" w:hAnsi="Times New Roman" w:eastAsia="仿宋_GB2312"/>
                <w:color w:val="auto"/>
                <w:kern w:val="0"/>
                <w:sz w:val="18"/>
                <w:szCs w:val="18"/>
              </w:rPr>
            </w:pPr>
          </w:p>
        </w:tc>
        <w:tc>
          <w:tcPr>
            <w:tcW w:w="545"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573"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p>
        </w:tc>
        <w:tc>
          <w:tcPr>
            <w:tcW w:w="2877"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待取得山西省人大常委会授权调整适用《山西省实施&lt;中华人民共和国野生动物保护法&gt;办法》后，取消审批。</w:t>
            </w:r>
          </w:p>
        </w:tc>
        <w:tc>
          <w:tcPr>
            <w:tcW w:w="3000" w:type="dxa"/>
            <w:tcBorders>
              <w:top w:val="nil"/>
              <w:left w:val="nil"/>
              <w:bottom w:val="single" w:color="auto" w:sz="4" w:space="0"/>
              <w:right w:val="single" w:color="auto" w:sz="4" w:space="0"/>
            </w:tcBorders>
            <w:shd w:val="clear" w:color="000000" w:fill="FFFFFF"/>
            <w:vAlign w:val="center"/>
          </w:tcPr>
          <w:p>
            <w:pPr>
              <w:widowControl/>
              <w:spacing w:line="320" w:lineRule="exact"/>
              <w:textAlignment w:val="center"/>
              <w:rPr>
                <w:rFonts w:ascii="Times New Roman" w:hAnsi="Times New Roman" w:eastAsia="仿宋_GB2312"/>
                <w:color w:val="auto"/>
                <w:kern w:val="0"/>
                <w:sz w:val="18"/>
                <w:szCs w:val="18"/>
              </w:rPr>
            </w:pPr>
            <w:r>
              <w:rPr>
                <w:rFonts w:ascii="Times New Roman" w:hAnsi="Times New Roman" w:eastAsia="仿宋_GB2312"/>
                <w:color w:val="auto"/>
                <w:kern w:val="0"/>
                <w:sz w:val="18"/>
                <w:szCs w:val="18"/>
              </w:rPr>
              <w:t>1.通过“双随机、一公开”监管、重点监管、信用监管等方式对非重点保护野生动物人工繁育机构实施日常管理，发现违法违规行为要依法查处并向社会公开查处结果。2.依法对非重点保护野生动物人工繁育活动进行监管，指导有关人工繁育机构提升业务能力和管理水平。</w:t>
            </w:r>
          </w:p>
        </w:tc>
      </w:tr>
    </w:tbl>
    <w:p>
      <w:pPr>
        <w:pStyle w:val="2"/>
        <w:tabs>
          <w:tab w:val="left" w:pos="2525"/>
        </w:tabs>
        <w:ind w:left="0" w:leftChars="0" w:firstLine="0" w:firstLineChars="0"/>
        <w:jc w:val="left"/>
        <w:rPr>
          <w:rFonts w:hint="eastAsia" w:ascii="Calibri" w:hAnsi="Calibri"/>
          <w:color w:val="000000"/>
          <w:szCs w:val="32"/>
        </w:rPr>
      </w:pPr>
      <w:r>
        <w:rPr>
          <w:rFonts w:hint="eastAsia"/>
          <w:szCs w:val="32"/>
          <w:lang w:eastAsia="zh-CN"/>
        </w:rPr>
        <w:tab/>
      </w:r>
    </w:p>
    <w:sectPr>
      <w:headerReference r:id="rId4" w:type="default"/>
      <w:footerReference r:id="rId6" w:type="default"/>
      <w:headerReference r:id="rId5" w:type="even"/>
      <w:footerReference r:id="rId7" w:type="even"/>
      <w:pgSz w:w="16838" w:h="11906" w:orient="landscape"/>
      <w:pgMar w:top="1588" w:right="2098" w:bottom="1474" w:left="1985" w:header="851" w:footer="1191" w:gutter="0"/>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altName w:val="Calibri"/>
    <w:panose1 w:val="020F0302020204030204"/>
    <w:charset w:val="00"/>
    <w:family w:val="auto"/>
    <w:pitch w:val="default"/>
    <w:sig w:usb0="A00002EF" w:usb1="4000207B"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Calibri" w:hAnsi="Calibri" w:eastAsia="仿宋_GB2312" w:cs="Times New Roman"/>
        <w:kern w:val="0"/>
        <w:sz w:val="18"/>
        <w:szCs w:val="18"/>
        <w:lang w:val="zh-CN" w:eastAsia="zh-CN" w:bidi="ar-SA"/>
      </w:rPr>
      <w:pict>
        <v:shape id="_x0000_s3073" o:spid="_x0000_s1025" type="#_x0000_t202" style="position:absolute;left:0;margin-left:393.2pt;margin-top:-25.35pt;height:144pt;width:144pt;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spacing w:beforeLines="50" w:afterLines="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pacing w:beforeLines="50" w:afterLines="50"/>
      <w:rPr>
        <w:rFonts w:hint="eastAsia" w:ascii="宋体" w:hAnsi="宋体" w:eastAsia="宋体" w:cs="宋体"/>
        <w:sz w:val="28"/>
        <w:szCs w:val="28"/>
      </w:rPr>
    </w:pPr>
    <w:r>
      <w:rPr>
        <w:rFonts w:hint="eastAsia" w:ascii="宋体" w:hAnsi="宋体" w:eastAsia="宋体" w:cs="宋体"/>
        <w:kern w:val="0"/>
        <w:sz w:val="28"/>
        <w:szCs w:val="28"/>
        <w:lang w:val="zh-CN" w:eastAsia="zh-CN" w:bidi="ar-SA"/>
      </w:rPr>
      <w:pict>
        <v:shape id="_x0000_s3074" o:spid="_x0000_s1026" type="#_x0000_t202" style="position:absolute;left:0;margin-top:-1.3pt;height:144pt;width:144pt;mso-position-horizontal:outside;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3"/>
                  <w:rPr>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evenAndOddHeaders w:val="1"/>
  <w:drawingGridHorizontalSpacing w:val="162"/>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6">
    <w:name w:val="Default Paragraph Font"/>
    <w:semiHidden/>
    <w:qFormat/>
    <w:uiPriority w:val="0"/>
  </w:style>
  <w:style w:type="paragraph" w:customStyle="1" w:styleId="2">
    <w:name w:val="引文目录1"/>
    <w:basedOn w:val="1"/>
    <w:next w:val="1"/>
    <w:qFormat/>
    <w:uiPriority w:val="0"/>
    <w:pPr>
      <w:ind w:left="420" w:leftChars="200"/>
    </w:pPr>
    <w:rPr>
      <w:rFonts w:eastAsia="宋体"/>
      <w:sz w:val="32"/>
      <w:szCs w:val="32"/>
    </w:rPr>
  </w:style>
  <w:style w:type="paragraph" w:styleId="3">
    <w:name w:val="footer"/>
    <w:basedOn w:val="1"/>
    <w:link w:val="8"/>
    <w:qFormat/>
    <w:uiPriority w:val="0"/>
    <w:pPr>
      <w:tabs>
        <w:tab w:val="center" w:pos="4153"/>
        <w:tab w:val="right" w:pos="8306"/>
      </w:tabs>
      <w:snapToGrid w:val="0"/>
      <w:jc w:val="left"/>
    </w:pPr>
    <w:rPr>
      <w:kern w:val="0"/>
      <w:sz w:val="18"/>
      <w:szCs w:val="18"/>
      <w:lang w:val="zh-CN" w:eastAsia="zh-CN"/>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kern w:val="0"/>
      <w:sz w:val="18"/>
      <w:szCs w:val="18"/>
      <w:lang w:val="zh-CN" w:eastAsia="zh-CN"/>
    </w:rPr>
  </w:style>
  <w:style w:type="paragraph" w:styleId="5">
    <w:name w:val="Title"/>
    <w:basedOn w:val="1"/>
    <w:next w:val="1"/>
    <w:link w:val="9"/>
    <w:qFormat/>
    <w:uiPriority w:val="0"/>
    <w:pPr>
      <w:spacing w:before="240" w:after="60"/>
      <w:jc w:val="center"/>
      <w:outlineLvl w:val="0"/>
    </w:pPr>
    <w:rPr>
      <w:rFonts w:ascii="Calibri Light" w:hAnsi="Calibri Light"/>
      <w:b/>
      <w:bCs/>
      <w:szCs w:val="32"/>
    </w:rPr>
  </w:style>
  <w:style w:type="character" w:customStyle="1" w:styleId="7">
    <w:name w:val="页眉 字符"/>
    <w:link w:val="4"/>
    <w:uiPriority w:val="99"/>
    <w:rPr>
      <w:sz w:val="18"/>
      <w:szCs w:val="18"/>
    </w:rPr>
  </w:style>
  <w:style w:type="character" w:customStyle="1" w:styleId="8">
    <w:name w:val="页脚 字符"/>
    <w:link w:val="3"/>
    <w:uiPriority w:val="99"/>
    <w:rPr>
      <w:sz w:val="18"/>
      <w:szCs w:val="18"/>
    </w:rPr>
  </w:style>
  <w:style w:type="character" w:customStyle="1" w:styleId="9">
    <w:name w:val="标题 字符"/>
    <w:link w:val="5"/>
    <w:uiPriority w:val="10"/>
    <w:rPr>
      <w:rFonts w:ascii="Calibri Light" w:hAnsi="Calibri Light" w:cs="Times New Roman"/>
      <w:b/>
      <w:bCs/>
      <w:kern w:val="2"/>
      <w:sz w:val="32"/>
      <w:szCs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Info spid="_x0000_s1026" textRotate="1"/>
    <customShpInfo spid="_x0000_s1028" textRotate="1"/>
    <customShpInfo spid="_x0000_s1029" textRotate="1"/>
    <customShpInfo spid="_x0000_s103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216</Pages>
  <Words>118766</Words>
  <Characters>121895</Characters>
  <Lines>917</Lines>
  <Paragraphs>258</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2022-06-30T23:53:00Z</dcterms:created>
  <dc:creator>Administrator</dc:creator>
  <cp:lastModifiedBy>芦佳乐</cp:lastModifiedBy>
  <cp:lastPrinted>2018-08-03T02:40:00Z</cp:lastPrinted>
  <dcterms:modified xsi:type="dcterms:W3CDTF">2023-08-18T09:07:09Z</dcterms:modified>
  <dc:title>长治市人民政府</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410EC71ED9D044EA9FF309A2E10E5E60</vt:lpwstr>
  </property>
</Properties>
</file>