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馆藏文物档案备案办理流程图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rect id="文本框 23" o:spid="_x0000_s1047" o:spt="1" style="position:absolute;left:0pt;margin-left:569.9pt;margin-top:24.3pt;height:38.3pt;width:77.25pt;z-index:251681792;mso-width-relative:page;mso-height-relative:page;" fillcolor="#FFFFFF" filled="t" o:preferrelative="t" stroked="t" coordsize="21600,21600">
            <v:path/>
            <v:fill on="t" focussize="0,0"/>
            <v:stroke weight="1.25pt"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eastAsia="宋体"/>
                      <w:sz w:val="36"/>
                      <w:szCs w:val="36"/>
                      <w:lang w:eastAsia="zh-CN"/>
                    </w:rPr>
                  </w:pPr>
                  <w:r>
                    <w:rPr>
                      <w:rFonts w:hint="eastAsia"/>
                      <w:sz w:val="30"/>
                      <w:szCs w:val="30"/>
                      <w:lang w:val="en-US" w:eastAsia="zh-CN"/>
                    </w:rPr>
                    <w:t>办结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rect id="文本框 24" o:spid="_x0000_s1048" o:spt="1" style="position:absolute;left:0pt;margin-left:417.75pt;margin-top:24.3pt;height:39.6pt;width:78.75pt;z-index:251680768;mso-width-relative:page;mso-height-relative:page;" fillcolor="#FFFFFF" filled="t" o:preferrelative="t" stroked="t" coordsize="21600,21600">
            <v:path/>
            <v:fill on="t" focussize="0,0"/>
            <v:stroke weight="1.25pt"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eastAsia="宋体"/>
                      <w:sz w:val="30"/>
                      <w:szCs w:val="30"/>
                      <w:lang w:val="en-US" w:eastAsia="zh-CN"/>
                    </w:rPr>
                  </w:pPr>
                  <w:r>
                    <w:rPr>
                      <w:rFonts w:hint="eastAsia"/>
                      <w:sz w:val="30"/>
                      <w:szCs w:val="30"/>
                      <w:lang w:val="en-US" w:eastAsia="zh-CN"/>
                    </w:rPr>
                    <w:t>决定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rect id="文本框 25" o:spid="_x0000_s1049" o:spt="1" style="position:absolute;left:0pt;margin-left:263.2pt;margin-top:23.6pt;height:38.15pt;width:73.5pt;z-index:251679744;mso-width-relative:page;mso-height-relative:page;" fillcolor="#FFFFFF" filled="t" o:preferrelative="t" stroked="t" coordsize="21600,21600">
            <v:path/>
            <v:fill on="t" focussize="0,0"/>
            <v:stroke weight="1.25pt"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/>
                      <w:sz w:val="36"/>
                      <w:szCs w:val="36"/>
                    </w:rPr>
                  </w:pPr>
                  <w:r>
                    <w:rPr>
                      <w:rFonts w:hint="eastAsia"/>
                      <w:sz w:val="30"/>
                      <w:szCs w:val="30"/>
                    </w:rPr>
                    <w:t>审核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rect id="文本框 26" o:spid="_x0000_s1050" o:spt="1" style="position:absolute;left:0pt;margin-left:78.7pt;margin-top:24.2pt;height:31.65pt;width:73.5pt;z-index:251678720;mso-width-relative:page;mso-height-relative:page;" fillcolor="#FFFFFF" filled="t" o:preferrelative="t" stroked="t" coordsize="21600,21600">
            <v:path/>
            <v:fill on="t" focussize="0,0"/>
            <v:stroke weight="1.25pt"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/>
                      <w:sz w:val="36"/>
                      <w:szCs w:val="36"/>
                    </w:rPr>
                  </w:pPr>
                  <w:r>
                    <w:rPr>
                      <w:rFonts w:hint="eastAsia"/>
                      <w:sz w:val="30"/>
                      <w:szCs w:val="30"/>
                    </w:rPr>
                    <w:t>受理</w:t>
                  </w:r>
                </w:p>
              </w:txbxContent>
            </v:textbox>
          </v:rect>
        </w:pict>
      </w: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shape id="_x0000_s1051" o:spid="_x0000_s1051" o:spt="13" type="#_x0000_t13" style="position:absolute;left:0pt;margin-left:497.65pt;margin-top:4.25pt;height:10.8pt;width:70.75pt;z-index:251684864;mso-width-relative:page;mso-height-relative:page;" fillcolor="#FFFFFF" filled="t" o:preferrelative="t" stroked="t" coordsize="21600,21600" adj="16201,5400">
            <v:path/>
            <v:fill on="t" focussize="0,0"/>
            <v:stroke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shape id="_x0000_s1052" o:spid="_x0000_s1052" o:spt="13" type="#_x0000_t13" style="position:absolute;left:0pt;margin-left:337.45pt;margin-top:5.55pt;height:10.8pt;width:78.75pt;z-index:251683840;mso-width-relative:page;mso-height-relative:page;" fillcolor="#FFFFFF" filled="t" o:preferrelative="t" stroked="t" coordsize="21600,21600" adj="16201,5400">
            <v:path/>
            <v:fill on="t" focussize="0,0"/>
            <v:stroke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shape id="_x0000_s1053" o:spid="_x0000_s1053" o:spt="13" type="#_x0000_t13" style="position:absolute;left:0pt;margin-left:153.7pt;margin-top:7.15pt;height:10.05pt;width:106.45pt;z-index:251682816;mso-width-relative:page;mso-height-relative:page;" fillcolor="#FFFFFF" filled="t" o:preferrelative="t" stroked="t" coordsize="21600,21600" adj="16201,5400">
            <v:path/>
            <v:fill on="t" focussize="0,0"/>
            <v:stroke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shape id="_x0000_s1054" o:spid="_x0000_s1054" o:spt="67" type="#_x0000_t67" style="position:absolute;left:0pt;margin-left:107.2pt;margin-top:26.85pt;height:20.75pt;width:21pt;z-index:251685888;mso-width-relative:page;mso-height-relative:page;" fillcolor="#FFFFFF" filled="t" o:preferrelative="t" stroked="t" coordsize="21600,21600" adj="16200,5400">
            <v:path/>
            <v:fill on="t" focussize="0,0"/>
            <v:stroke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 style="layout-flow:vertical-ideographic;"/>
          </v:shape>
        </w:pict>
      </w: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Calibri" w:hAnsi="Calibri" w:eastAsia="宋体" w:cs="黑体"/>
          <w:kern w:val="2"/>
          <w:sz w:val="32"/>
          <w:szCs w:val="32"/>
          <w:lang w:val="en-US" w:eastAsia="zh-CN" w:bidi="ar-SA"/>
        </w:rPr>
        <w:pict>
          <v:roundrect id="_x0000_s1055" o:spid="_x0000_s1055" o:spt="2" style="position:absolute;left:0pt;margin-left:26.9pt;margin-top:17.4pt;height:229.5pt;width:196.7pt;z-index:251693056;mso-width-relative:page;mso-height-relative:page;" fillcolor="#FFFFFF" filled="t" o:preferrelative="t" stroked="t" coordsize="21600,21600" arcsize="0.166666666666667">
            <v:path/>
            <v:fill on="t" focussize="0,0"/>
            <v:stroke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widowControl w:val="0"/>
                    <w:wordWrap/>
                    <w:adjustRightInd/>
                    <w:snapToGrid/>
                    <w:spacing w:before="0" w:after="0" w:line="440" w:lineRule="exact"/>
                    <w:ind w:left="0" w:leftChars="0" w:right="0"/>
                    <w:jc w:val="both"/>
                    <w:textAlignment w:val="auto"/>
                    <w:outlineLvl w:val="9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责任人：</w:t>
                  </w:r>
                  <w:r>
                    <w:rPr>
                      <w:rFonts w:hint="eastAsia" w:ascii="宋体" w:hAnsi="宋体" w:cs="宋体"/>
                      <w:szCs w:val="21"/>
                      <w:lang w:val="en-US" w:eastAsia="zh-CN"/>
                    </w:rPr>
                    <w:t>文物展示利用</w:t>
                  </w:r>
                  <w:r>
                    <w:rPr>
                      <w:rFonts w:hint="eastAsia" w:ascii="宋体" w:hAnsi="宋体" w:cs="宋体"/>
                      <w:szCs w:val="21"/>
                    </w:rPr>
                    <w:t>科工作人员</w:t>
                  </w:r>
                </w:p>
                <w:p>
                  <w:pPr>
                    <w:widowControl w:val="0"/>
                    <w:wordWrap/>
                    <w:adjustRightInd/>
                    <w:snapToGrid/>
                    <w:spacing w:before="0" w:after="0" w:line="440" w:lineRule="exact"/>
                    <w:ind w:left="0" w:leftChars="0" w:right="0"/>
                    <w:jc w:val="both"/>
                    <w:textAlignment w:val="auto"/>
                    <w:outlineLvl w:val="9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工作时限：1个工作日</w:t>
                  </w:r>
                </w:p>
                <w:p>
                  <w:pPr>
                    <w:widowControl w:val="0"/>
                    <w:wordWrap/>
                    <w:adjustRightInd/>
                    <w:snapToGrid/>
                    <w:spacing w:before="0" w:after="0" w:line="440" w:lineRule="exact"/>
                    <w:ind w:left="0" w:leftChars="0" w:right="0"/>
                    <w:jc w:val="both"/>
                    <w:textAlignment w:val="auto"/>
                    <w:outlineLvl w:val="9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权限：依据申报材料确定是否受理。</w:t>
                  </w:r>
                </w:p>
                <w:p>
                  <w:pPr>
                    <w:widowControl w:val="0"/>
                    <w:wordWrap/>
                    <w:adjustRightInd/>
                    <w:snapToGrid/>
                    <w:spacing w:before="0" w:after="0" w:line="440" w:lineRule="exact"/>
                    <w:ind w:left="0" w:leftChars="0" w:right="0"/>
                    <w:jc w:val="both"/>
                    <w:textAlignment w:val="auto"/>
                    <w:outlineLvl w:val="9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操作程序和要求：依据申报材料确定是否受理。</w:t>
                  </w:r>
                </w:p>
                <w:p>
                  <w:pPr>
                    <w:widowControl w:val="0"/>
                    <w:wordWrap/>
                    <w:adjustRightInd/>
                    <w:snapToGrid/>
                    <w:spacing w:before="0" w:after="0" w:line="440" w:lineRule="exact"/>
                    <w:ind w:left="0" w:leftChars="0" w:right="0" w:firstLine="420" w:firstLineChars="200"/>
                    <w:jc w:val="both"/>
                    <w:textAlignment w:val="auto"/>
                    <w:outlineLvl w:val="9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一、办理条件：</w:t>
                  </w:r>
                </w:p>
                <w:p>
                  <w:pPr>
                    <w:widowControl w:val="0"/>
                    <w:wordWrap/>
                    <w:adjustRightInd/>
                    <w:snapToGrid/>
                    <w:spacing w:before="0" w:after="0" w:line="440" w:lineRule="exact"/>
                    <w:ind w:left="0" w:leftChars="0" w:right="0" w:firstLine="420" w:firstLineChars="200"/>
                    <w:jc w:val="both"/>
                    <w:textAlignment w:val="auto"/>
                    <w:outlineLvl w:val="9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1、博物馆需进行非企业法人登记并在省级文物行政部门备案。</w:t>
                  </w:r>
                </w:p>
                <w:p>
                  <w:pPr>
                    <w:widowControl w:val="0"/>
                    <w:wordWrap/>
                    <w:adjustRightInd/>
                    <w:snapToGrid/>
                    <w:spacing w:before="0" w:after="0" w:line="440" w:lineRule="exact"/>
                    <w:ind w:left="0" w:leftChars="0" w:right="0" w:firstLine="420" w:firstLineChars="200"/>
                    <w:jc w:val="both"/>
                    <w:textAlignment w:val="auto"/>
                    <w:outlineLvl w:val="9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2、县级以上文物行政部门初审。</w:t>
                  </w:r>
                </w:p>
              </w:txbxContent>
            </v:textbox>
          </v:roundrect>
        </w:pict>
      </w: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roundrect id="_x0000_s1056" o:spid="_x0000_s1056" o:spt="2" style="position:absolute;left:0pt;margin-left:246.7pt;margin-top:28.25pt;height:219.45pt;width:115.5pt;z-index:251689984;mso-width-relative:page;mso-height-relative:page;" fillcolor="#FFFFFF" filled="t" o:preferrelative="t" stroked="t" coordsize="21600,21600" arcsize="0.166666666666667">
            <v:path/>
            <v:fill on="t" focussize="0,0"/>
            <v:stroke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责任人：</w:t>
                  </w:r>
                  <w:r>
                    <w:rPr>
                      <w:rFonts w:hint="eastAsia" w:ascii="宋体" w:hAnsi="宋体" w:cs="宋体"/>
                      <w:szCs w:val="21"/>
                      <w:lang w:eastAsia="zh-CN"/>
                    </w:rPr>
                    <w:t>科室</w:t>
                  </w:r>
                  <w:r>
                    <w:rPr>
                      <w:rFonts w:hint="eastAsia" w:ascii="宋体" w:hAnsi="宋体" w:cs="宋体"/>
                      <w:szCs w:val="21"/>
                    </w:rPr>
                    <w:t>负责人</w:t>
                  </w:r>
                </w:p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工作时限：</w:t>
                  </w:r>
                  <w:r>
                    <w:rPr>
                      <w:rFonts w:hint="eastAsia" w:ascii="宋体" w:hAnsi="宋体" w:cs="宋体"/>
                      <w:color w:val="3E3E3E"/>
                      <w:szCs w:val="21"/>
                      <w:lang w:val="en-US" w:eastAsia="zh-CN"/>
                    </w:rPr>
                    <w:t>2</w:t>
                  </w:r>
                  <w:r>
                    <w:rPr>
                      <w:rFonts w:hint="eastAsia" w:ascii="宋体" w:hAnsi="宋体" w:cs="宋体"/>
                      <w:color w:val="3E3E3E"/>
                      <w:szCs w:val="21"/>
                    </w:rPr>
                    <w:t>个工作日</w:t>
                  </w:r>
                </w:p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权限：按照法律、法规严格审核</w:t>
                  </w:r>
                </w:p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操作程序和要求：1、审核提交的材料是否符合相关的法律、法规。</w:t>
                  </w:r>
                </w:p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2、不符合相关法律法规的予以退回。</w:t>
                  </w:r>
                </w:p>
              </w:txbxContent>
            </v:textbox>
          </v:roundrect>
        </w:pict>
      </w: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shape id="_x0000_s1057" o:spid="_x0000_s1057" o:spt="67" type="#_x0000_t67" style="position:absolute;left:0pt;margin-left:597.7pt;margin-top:1.2pt;height:28.2pt;width:21pt;z-index:251688960;mso-width-relative:page;mso-height-relative:page;" fillcolor="#FFFFFF" filled="t" o:preferrelative="t" stroked="t" coordsize="21600,21600" adj="16201,5400">
            <v:path/>
            <v:fill on="t" focussize="0,0"/>
            <v:stroke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 style="layout-flow:vertical-ideographic;"/>
          </v:shape>
        </w:pict>
      </w: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shape id="_x0000_s1058" o:spid="_x0000_s1058" o:spt="67" type="#_x0000_t67" style="position:absolute;left:0pt;margin-left:443.95pt;margin-top:3.05pt;height:33.4pt;width:21pt;z-index:251687936;mso-width-relative:page;mso-height-relative:page;" fillcolor="#FFFFFF" filled="t" o:preferrelative="t" stroked="t" coordsize="21600,21600" adj="16201,5400">
            <v:path/>
            <v:fill on="t" focussize="0,0"/>
            <v:stroke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 style="layout-flow:vertical-ideographic;"/>
          </v:shape>
        </w:pict>
      </w: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shape id="_x0000_s1059" o:spid="_x0000_s1059" o:spt="67" type="#_x0000_t67" style="position:absolute;left:0pt;margin-left:290.95pt;margin-top:0.75pt;height:27.45pt;width:21pt;z-index:251686912;mso-width-relative:page;mso-height-relative:page;" fillcolor="#FFFFFF" filled="t" o:preferrelative="t" stroked="t" coordsize="21600,21600" adj="16201,5400">
            <v:path/>
            <v:fill on="t" focussize="0,0"/>
            <v:stroke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 style="layout-flow:vertical-ideographic;"/>
          </v:shape>
        </w:pict>
      </w: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roundrect id="_x0000_s1060" o:spid="_x0000_s1060" o:spt="2" style="position:absolute;left:0pt;margin-left:404.2pt;margin-top:6.75pt;height:172.2pt;width:115.5pt;z-index:251692032;mso-width-relative:page;mso-height-relative:page;" fillcolor="#FFFFFF" filled="t" o:preferrelative="t" stroked="t" coordsize="21600,21600" arcsize="0.166666666666667">
            <v:path/>
            <v:fill on="t" focussize="0,0"/>
            <v:stroke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责任人：分管领导</w:t>
                  </w:r>
                </w:p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工作时限：</w:t>
                  </w:r>
                  <w:r>
                    <w:rPr>
                      <w:rFonts w:hint="eastAsia" w:ascii="宋体" w:hAnsi="宋体" w:cs="宋体"/>
                      <w:color w:val="3E3E3E"/>
                      <w:szCs w:val="21"/>
                      <w:lang w:val="en-US" w:eastAsia="zh-CN"/>
                    </w:rPr>
                    <w:t>2</w:t>
                  </w:r>
                  <w:r>
                    <w:rPr>
                      <w:rFonts w:hint="eastAsia" w:ascii="宋体" w:hAnsi="宋体" w:cs="宋体"/>
                      <w:color w:val="3E3E3E"/>
                      <w:szCs w:val="21"/>
                    </w:rPr>
                    <w:t>个工作日</w:t>
                  </w:r>
                </w:p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权限：按照法律、法规严格审核</w:t>
                  </w:r>
                  <w:r>
                    <w:rPr>
                      <w:rFonts w:hint="eastAsia" w:ascii="宋体" w:hAnsi="宋体" w:cs="宋体"/>
                      <w:szCs w:val="21"/>
                      <w:lang w:val="en-US" w:eastAsia="zh-CN"/>
                    </w:rPr>
                    <w:t>后</w:t>
                  </w:r>
                  <w:r>
                    <w:rPr>
                      <w:rFonts w:hint="eastAsia" w:ascii="宋体" w:hAnsi="宋体" w:cs="宋体"/>
                      <w:szCs w:val="21"/>
                    </w:rPr>
                    <w:t>作出是否同意的批复。</w:t>
                  </w:r>
                </w:p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</w:p>
              </w:txbxContent>
            </v:textbox>
          </v:roundrect>
        </w:pict>
      </w:r>
      <w:r>
        <w:rPr>
          <w:rFonts w:ascii="Calibri" w:hAnsi="Calibri" w:eastAsia="宋体" w:cs="黑体"/>
          <w:kern w:val="2"/>
          <w:sz w:val="28"/>
          <w:szCs w:val="24"/>
          <w:lang w:val="en-US" w:eastAsia="zh-CN" w:bidi="ar-SA"/>
        </w:rPr>
        <w:pict>
          <v:roundrect id="_x0000_s1061" o:spid="_x0000_s1061" o:spt="2" style="position:absolute;left:0pt;margin-left:557.75pt;margin-top:0.45pt;height:178.5pt;width:110.25pt;z-index:251691008;mso-width-relative:page;mso-height-relative:page;" fillcolor="#FFFFFF" filled="t" o:preferrelative="t" stroked="t" coordsize="21600,21600" arcsize="0.166666666666667">
            <v:path/>
            <v:fill on="t" focussize="0,0"/>
            <v:stroke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责任人：受理工作人员</w:t>
                  </w:r>
                </w:p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工作时限：</w:t>
                  </w:r>
                  <w:r>
                    <w:rPr>
                      <w:rFonts w:hint="eastAsia" w:ascii="宋体" w:hAnsi="宋体" w:cs="宋体"/>
                      <w:color w:val="3E3E3E"/>
                      <w:szCs w:val="21"/>
                    </w:rPr>
                    <w:t>1个工作日</w:t>
                  </w:r>
                </w:p>
                <w:p>
                  <w:pPr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操作程序和要求：下达批复，通知申请人。</w:t>
                  </w:r>
                </w:p>
                <w:p>
                  <w:pPr>
                    <w:rPr>
                      <w:rFonts w:hint="eastAsia" w:ascii="仿宋_GB2312" w:eastAsia="仿宋_GB2312"/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jc w:val="left"/>
        <w:rPr>
          <w:rFonts w:hint="eastAsia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拆除公共文化体育设施或改变功能、用途审核流程图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9" o:spid="_x0000_s1084" o:spt="1" style="position:absolute;left:0pt;margin-left:59.65pt;margin-top:461.4pt;height:93pt;width:314.15pt;z-index:251702272;mso-width-relative:page;mso-height-relative:page;" fillcolor="#FFFFFF" filled="t" o:preferrelative="t" stroked="t" coordsize="21600,21600">
            <v:path/>
            <v:fill on="t" focussize="0,0"/>
            <v:stroke weight="0.5pt"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办    结</w:t>
                  </w:r>
                </w:p>
                <w:p>
                  <w:pPr>
                    <w:ind w:leftChars="700"/>
                    <w:jc w:val="both"/>
                    <w:rPr>
                      <w:rFonts w:hint="eastAsia"/>
                      <w:lang w:val="en-US" w:eastAsia="zh-CN"/>
                    </w:rPr>
                  </w:pPr>
                </w:p>
                <w:p>
                  <w:pPr>
                    <w:ind w:leftChars="7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责任人：受理工作人员</w:t>
                  </w:r>
                </w:p>
                <w:p>
                  <w:pPr>
                    <w:ind w:leftChars="7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工作时限：1个工作日</w:t>
                  </w:r>
                </w:p>
                <w:p>
                  <w:pPr>
                    <w:ind w:leftChars="700"/>
                    <w:jc w:val="both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操作程序和要求：下达批复，通知申请人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7" o:spid="_x0000_s1085" o:spt="1" style="position:absolute;left:0pt;margin-left:60.35pt;margin-top:329.2pt;height:101.25pt;width:312.65pt;z-index:251700224;mso-width-relative:page;mso-height-relative:page;" fillcolor="#FFFFFF" filled="t" o:preferrelative="t" stroked="t" coordsize="21600,21600">
            <v:path/>
            <v:fill on="t" focussize="0,0"/>
            <v:stroke weight="0.5pt"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决    定</w:t>
                  </w:r>
                </w:p>
                <w:p>
                  <w:pPr>
                    <w:jc w:val="center"/>
                    <w:rPr>
                      <w:rFonts w:hint="eastAsia"/>
                      <w:lang w:val="en-US" w:eastAsia="zh-CN"/>
                    </w:rPr>
                  </w:pPr>
                </w:p>
                <w:p>
                  <w:pPr>
                    <w:ind w:leftChars="6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责任人：分管领导</w:t>
                  </w:r>
                </w:p>
                <w:p>
                  <w:pPr>
                    <w:ind w:leftChars="6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工作时限：3个工作日</w:t>
                  </w:r>
                </w:p>
                <w:p>
                  <w:pPr>
                    <w:ind w:leftChars="6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权限：作出是否同意的批复</w:t>
                  </w:r>
                </w:p>
                <w:p>
                  <w:pPr>
                    <w:ind w:leftChars="6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操作程序和要求：作出是否同意的批复</w:t>
                  </w:r>
                </w:p>
                <w:p>
                  <w:pPr>
                    <w:jc w:val="center"/>
                    <w:rPr>
                      <w:rFonts w:hint="default"/>
                      <w:lang w:val="en-US" w:eastAsia="zh-CN"/>
                    </w:rPr>
                  </w:pP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直接箭头连接符 8" o:spid="_x0000_s1086" o:spt="32" type="#_x0000_t32" style="position:absolute;left:0pt;margin-left:217.45pt;margin-top:431.2pt;height:30.2pt;width:0.35pt;z-index:251701248;mso-width-relative:page;mso-height-relative:page;" fillcolor="#FFFFFF" filled="t" o:preferrelative="t" stroked="t" coordsize="21600,21600">
            <v:path arrowok="t"/>
            <v:fill on="t" focussize="0,0"/>
            <v:stroke weight="0.5pt" color="#5B9BD5" color2="#FFFFFF" opacity="65536f" miterlimit="2" endarrow="open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color w:val="auto"/>
          <w:kern w:val="2"/>
          <w:sz w:val="36"/>
          <w:szCs w:val="24"/>
          <w:lang w:val="en-US" w:eastAsia="zh-CN" w:bidi="ar-SA"/>
        </w:rPr>
        <w:pict>
          <v:shape id="直接箭头连接符 10" o:spid="_x0000_s1087" o:spt="32" type="#_x0000_t32" style="position:absolute;left:0pt;margin-left:207.7pt;margin-top:158.25pt;height:20.65pt;width:0.35pt;z-index:251703296;mso-width-relative:page;mso-height-relative:page;" fillcolor="#FFFFFF" filled="t" o:preferrelative="t" stroked="t" coordsize="21600,21600">
            <v:path arrowok="t"/>
            <v:fill on="t" focussize="0,0"/>
            <v:stroke weight="0.5pt" color="#5B9BD5" color2="#FFFFFF" opacity="65536f" miterlimit="2" endarrow="open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3" o:spid="_x0000_s1088" o:spt="1" style="position:absolute;left:0pt;margin-left:54.35pt;margin-top:54.75pt;height:102.65pt;width:314.95pt;z-index:251697152;mso-width-relative:page;mso-height-relative:page;" fillcolor="#FFFFFF" filled="t" o:preferrelative="t" stroked="t" coordsize="21600,21600">
            <v:path/>
            <v:fill on="t" focussize="0,0"/>
            <v:stroke weight="0.5pt"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受      理</w:t>
                  </w:r>
                </w:p>
                <w:p>
                  <w:pPr>
                    <w:ind w:leftChars="500"/>
                    <w:jc w:val="both"/>
                    <w:rPr>
                      <w:rFonts w:hint="eastAsia"/>
                      <w:lang w:val="en-US" w:eastAsia="zh-CN"/>
                    </w:rPr>
                  </w:pPr>
                </w:p>
                <w:p>
                  <w:pPr>
                    <w:ind w:leftChars="5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责任人：公共服务科工作人员</w:t>
                  </w:r>
                </w:p>
                <w:p>
                  <w:pPr>
                    <w:ind w:leftChars="5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工作时限：1个工作日</w:t>
                  </w:r>
                </w:p>
                <w:p>
                  <w:pPr>
                    <w:ind w:leftChars="5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权限：依据申报材料确定是否受理。</w:t>
                  </w:r>
                </w:p>
                <w:p>
                  <w:pPr>
                    <w:ind w:leftChars="5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操作程序和要求：依据申报材料确定是否受理。</w:t>
                  </w:r>
                </w:p>
                <w:p>
                  <w:pPr>
                    <w:jc w:val="both"/>
                    <w:rPr>
                      <w:rFonts w:hint="default"/>
                      <w:lang w:val="en-US" w:eastAsia="zh-CN"/>
                    </w:rPr>
                  </w:pP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直接箭头连接符 6" o:spid="_x0000_s1089" o:spt="32" type="#_x0000_t32" style="position:absolute;left:0pt;margin-left:214.45pt;margin-top:302.2pt;height:28.65pt;width:1.85pt;z-index:251699200;mso-width-relative:page;mso-height-relative:page;" fillcolor="#FFFFFF" filled="t" o:preferrelative="t" stroked="t" coordsize="21600,21600">
            <v:path arrowok="t"/>
            <v:fill on="t" focussize="0,0"/>
            <v:stroke weight="0.5pt" color="#5B9BD5" color2="#FFFFFF" opacity="65536f" miterlimit="2" endarrow="open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5" o:spid="_x0000_s1090" o:spt="1" style="position:absolute;left:0pt;margin-left:58.8pt;margin-top:182.95pt;height:119.2pt;width:311.25pt;z-index:251698176;mso-width-relative:page;mso-height-relative:page;" fillcolor="#FFFFFF" filled="t" o:preferrelative="t" stroked="t" coordsize="21600,21600">
            <v:path/>
            <v:fill on="t" focussize="0,0"/>
            <v:stroke weight="0.5pt"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审     核</w:t>
                  </w:r>
                </w:p>
                <w:p>
                  <w:pPr>
                    <w:ind w:left="210" w:leftChars="100"/>
                    <w:jc w:val="both"/>
                    <w:rPr>
                      <w:rFonts w:hint="eastAsia"/>
                      <w:lang w:val="en-US" w:eastAsia="zh-CN"/>
                    </w:rPr>
                  </w:pPr>
                </w:p>
                <w:p>
                  <w:pPr>
                    <w:ind w:left="210" w:leftChars="1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责任人：科室责任人</w:t>
                  </w:r>
                </w:p>
                <w:p>
                  <w:pPr>
                    <w:ind w:left="210" w:leftChars="1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工作时限：5个工作日</w:t>
                  </w:r>
                </w:p>
                <w:p>
                  <w:pPr>
                    <w:ind w:left="210" w:leftChars="1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权限：按照法律、法规严格审核</w:t>
                  </w:r>
                </w:p>
                <w:p>
                  <w:pPr>
                    <w:ind w:left="210" w:leftChars="100"/>
                    <w:jc w:val="both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操作程序和要求：1.审核提交的材料是否符合法律、法规；</w:t>
                  </w:r>
                </w:p>
                <w:p>
                  <w:pPr>
                    <w:ind w:left="210" w:leftChars="100"/>
                    <w:jc w:val="both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2.不符合法律、法规的予以退回。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color w:val="auto"/>
          <w:kern w:val="2"/>
          <w:sz w:val="36"/>
          <w:szCs w:val="24"/>
          <w:lang w:val="en-US" w:eastAsia="zh-CN" w:bidi="ar-SA"/>
        </w:rPr>
        <w:pict>
          <v:shape id="直接箭头连接符 2" o:spid="_x0000_s1091" o:spt="32" type="#_x0000_t32" style="position:absolute;left:0pt;margin-left:211.45pt;margin-top:33.75pt;height:20.65pt;width:0.35pt;z-index:251696128;mso-width-relative:page;mso-height-relative:page;" fillcolor="#FFFFFF" filled="t" o:preferrelative="t" stroked="t" coordsize="21600,21600">
            <v:path arrowok="t"/>
            <v:fill on="t" focussize="0,0"/>
            <v:stroke weight="0.5pt" color="#5B9BD5" color2="#FFFFFF" opacity="65536f" miterlimit="2" endarrow="open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color w:val="auto"/>
          <w:kern w:val="2"/>
          <w:sz w:val="36"/>
          <w:szCs w:val="24"/>
          <w:lang w:val="en-US" w:eastAsia="zh-CN" w:bidi="ar-SA"/>
        </w:rPr>
        <w:pict>
          <v:rect id="文本框 1" o:spid="_x0000_s1092" o:spt="1" style="position:absolute;left:0pt;margin-left:109.05pt;margin-top:9.75pt;height:24pt;width:204.75pt;z-index:251695104;mso-width-relative:page;mso-height-relative:page;" fillcolor="#FFFFFF" filled="t" o:preferrelative="t" stroked="t" coordsize="21600,21600">
            <v:path/>
            <v:fill on="t" focussize="0,0"/>
            <v:stroke weight="0.5pt" color="#000000" color2="#FFFFFF" opacity="65536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申请人提出申请</w:t>
                  </w:r>
                </w:p>
              </w:txbxContent>
            </v:textbox>
          </v:rect>
        </w:pict>
      </w:r>
    </w:p>
    <w:p>
      <w:pPr>
        <w:jc w:val="left"/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ascii="Calibri" w:hAnsi="Calibri" w:eastAsia="宋体" w:cs="黑体"/>
        <w:kern w:val="2"/>
        <w:sz w:val="21"/>
        <w:szCs w:val="24"/>
        <w:lang w:val="en-US" w:eastAsia="zh-CN" w:bidi="ar-SA"/>
      </w:rPr>
      <w:pict>
        <v:rect id="文本框 1139" o:spid="_x0000_s2049" o:spt="1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ascii="Calibri" w:hAnsi="Calibri" w:eastAsia="宋体" w:cs="黑体"/>
        <w:kern w:val="2"/>
        <w:sz w:val="21"/>
        <w:szCs w:val="24"/>
        <w:lang w:val="en-US" w:eastAsia="zh-CN" w:bidi="ar-SA"/>
      </w:rPr>
      <w:pict>
        <v:rect id="_x0000_s2050" o:spid="_x0000_s2050" o:spt="1" style="position:absolute;left:0pt;margin-top:0pt;height:144pt;width:144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8EFD6D7"/>
    <w:rsid w:val="727FAB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  <o:rules v:ext="edit">
        <o:r id="V:Rule1" type="connector" idref="#直接箭头连接符 8"/>
        <o:r id="V:Rule2" type="connector" idref="#直接箭头连接符 10"/>
        <o:r id="V:Rule3" type="connector" idref="#直接箭头连接符 6"/>
        <o:r id="V:Rule4" type="connector" idref="#直接箭头连接符 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baixin</cp:lastModifiedBy>
  <cp:lastPrinted>2020-10-21T19:08:00Z</cp:lastPrinted>
  <dcterms:modified xsi:type="dcterms:W3CDTF">2023-12-01T10:37:42Z</dcterms:modified>
  <dc:title>其他权力：1.互联网网站使用广播电视专有名称的审批；2.省级文物保护单位保护工程技术设计方案审批；3.馆藏文物档案备案；4.拆除公共文化体育设施或改变功能、用途审核行政职权运行流程图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