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公积金对组合贷“带押过户”业务操作流程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（一）预审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收到组合贷商贷银行介绍函后，窗口人员提前预审买受人公积金贷款资格和拟交易房屋状态，核定借款人最终可受理贷款年限和贷款额度，向组合贷中对应银行出联系函。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（二）初审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窗口人员收到组合贷商贷银行联系函回执后，公积金中心、出卖人、买受人签订公积金对组合贷“带押过户”三方协议，窗口人员按正常二手房交易流程受理，同时在带押过户业务界面“是否公积金贷款”处选择“否”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资料不同之处：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1、无变更后的不动产原件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2、无交易后的税票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（三）复审、终审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窗口人员出具正常抵押资料。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（四）放款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-结清-解押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发放贷款时系统会自动结清卖方公积金贷款本息，剩余款项根据商贷银行联系函回执指定账号发放，商贷银行在承诺时效内办理抵押权解押手续。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（五）交易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-抵押人变更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受委托银行、买卖双方去不动产等相关部门办理二手房交易过户手续，同时持抵押资料及原借款人不动产登记证明办理抵押人变更手续，办理完结后录入系统。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完善资料：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1.不动产登记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证明；2.新增值税票；3.交易后的不动产权证书；4.结清证明。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（六）办结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25C4396B"/>
    <w:rsid w:val="4BD6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2023-12-21T07:59:02Z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111CFC21F10D4FFFAEA0533210C1921C_12</vt:lpwstr>
  </property>
</Properties>
</file>