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公积金对商贷“带押过户”业务操作流程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（一）预审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收到商贷银行介绍函后，窗口人员提前预审买受人公积金贷款资格和拟交易房屋状态，核定借款人最终可受理贷款年限和贷款额度。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办理顺位抵押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公积金中心、出卖人、买受人签订公积金对商贷“带押过户”三方协议，窗口人员出具正常抵押资料，在不动产部门办理顺位抵押。收到不动产登记回执后，公积金中心给商贷银行出具受理联系函。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（三）初审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窗口人员收到该业务商贷银行联系函回执后，按正常二手房交易流程受理，同时在带押过户业务界面“是否公积金贷款”处选择“否”。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资料不同之处：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1、无变更后的不动产原件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2、无交易后的税票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（四）复审、终审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窗口人员出具正常抵押资料，输入顺位抵押不动产登记证（或顺位抵押不动产登记回执）。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（五）放款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-结清-解押-交易-抵押人变更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发放贷款款项根据商贷银行联系函回执指定账号发放，商贷银行在承诺时效内办理第一抵押权解押手续。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受委托银行、买卖双方去不动产等相关部门办理二手房交易过户手续，同时持抵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押资料及出让人顺位抵押不动产登记证明办理抵押人变更手续，办理完结后录入系统。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完善资料：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1.不动产登记证明；2.新增值税票；3.交易后的不动产权证书；4.结清证明。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（六）办结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jMGEyYzc3MmE5OGNmMjAwNzdkN2UxNjI2ODliYjQifQ=="/>
  </w:docVars>
  <w:rsids>
    <w:rsidRoot w:val="00000000"/>
    <w:rsid w:val="02FC537A"/>
    <w:rsid w:val="5B9D6352"/>
    <w:rsid w:val="6D860D6E"/>
    <w:rsid w:val="7206380E"/>
    <w:rsid w:val="7DD7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Administrator.C15D4TO8MMLLRV7</dc:creator>
  <cp:lastModifiedBy>Administrator</cp:lastModifiedBy>
  <dcterms:modified xsi:type="dcterms:W3CDTF">2023-12-21T07:56:34Z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5C7C0A6D41E84E61BBA04032E36A226F_12</vt:lpwstr>
  </property>
</Properties>
</file>